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0681">
      <w:pPr>
        <w:keepLines w:val="0"/>
        <w:pageBreakBefore w:val="0"/>
        <w:widowControl w:val="0"/>
        <w:kinsoku/>
        <w:wordWrap/>
        <w:overflowPunct/>
        <w:topLinePunct w:val="0"/>
        <w:bidi w:val="0"/>
        <w:spacing w:after="0" w:line="480" w:lineRule="exact"/>
        <w:ind w:firstLine="280" w:firstLineChars="100"/>
        <w:jc w:val="center"/>
        <w:textAlignment w:val="auto"/>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lang w:val="en-US" w:eastAsia="zh-CN"/>
        </w:rPr>
        <w:t>上饶市中心血站物业管理服务项目</w:t>
      </w:r>
    </w:p>
    <w:p w14:paraId="5DAA3E79">
      <w:pPr>
        <w:keepLines w:val="0"/>
        <w:pageBreakBefore w:val="0"/>
        <w:widowControl w:val="0"/>
        <w:kinsoku/>
        <w:wordWrap/>
        <w:overflowPunct/>
        <w:topLinePunct w:val="0"/>
        <w:bidi w:val="0"/>
        <w:spacing w:after="0" w:line="480" w:lineRule="exact"/>
        <w:ind w:firstLine="281" w:firstLineChars="100"/>
        <w:jc w:val="both"/>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一、项目情况介绍</w:t>
      </w:r>
    </w:p>
    <w:p w14:paraId="048DD102">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val="0"/>
          <w:bCs w:val="0"/>
          <w:color w:val="auto"/>
          <w:sz w:val="28"/>
          <w:szCs w:val="28"/>
          <w:highlight w:val="none"/>
        </w:rPr>
        <w:t>（一）预算费用：</w:t>
      </w:r>
      <w:r>
        <w:rPr>
          <w:rFonts w:hint="eastAsia" w:ascii="仿宋_GB2312" w:hAnsi="仿宋_GB2312" w:eastAsia="仿宋_GB2312" w:cs="仿宋_GB2312"/>
          <w:bCs/>
          <w:color w:val="auto"/>
          <w:sz w:val="28"/>
          <w:szCs w:val="28"/>
          <w:highlight w:val="none"/>
          <w:lang w:val="en-US" w:eastAsia="zh-CN"/>
        </w:rPr>
        <w:t>49</w:t>
      </w:r>
      <w:r>
        <w:rPr>
          <w:rFonts w:hint="eastAsia" w:ascii="仿宋_GB2312" w:hAnsi="仿宋_GB2312" w:eastAsia="仿宋_GB2312" w:cs="仿宋_GB2312"/>
          <w:bCs/>
          <w:color w:val="auto"/>
          <w:sz w:val="28"/>
          <w:szCs w:val="28"/>
          <w:highlight w:val="none"/>
        </w:rPr>
        <w:t>万元/年，服务期</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rPr>
        <w:t>年。</w:t>
      </w:r>
    </w:p>
    <w:p w14:paraId="61482F5C">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预算费用包括以下内容：</w:t>
      </w:r>
      <w:r>
        <w:rPr>
          <w:rFonts w:hint="eastAsia" w:ascii="仿宋_GB2312" w:hAnsi="仿宋_GB2312" w:eastAsia="仿宋_GB2312" w:cs="仿宋_GB2312"/>
          <w:color w:val="auto"/>
          <w:sz w:val="28"/>
          <w:szCs w:val="28"/>
          <w:highlight w:val="none"/>
          <w:vertAlign w:val="baseline"/>
          <w:lang w:val="en-US" w:eastAsia="zh-CN"/>
        </w:rPr>
        <w:t>人</w:t>
      </w:r>
      <w:r>
        <w:rPr>
          <w:rFonts w:hint="eastAsia" w:ascii="仿宋_GB2312" w:hAnsi="仿宋_GB2312" w:eastAsia="仿宋_GB2312" w:cs="仿宋_GB2312"/>
          <w:color w:val="auto"/>
          <w:sz w:val="28"/>
          <w:szCs w:val="28"/>
          <w:highlight w:val="none"/>
          <w:vertAlign w:val="baseline"/>
          <w:lang w:val="en-US" w:eastAsia="zh-CN"/>
        </w:rPr>
        <w:t>工费（基本</w:t>
      </w:r>
      <w:r>
        <w:rPr>
          <w:rFonts w:hint="eastAsia" w:ascii="仿宋_GB2312" w:hAnsi="仿宋_GB2312" w:eastAsia="仿宋_GB2312" w:cs="仿宋_GB2312"/>
          <w:color w:val="auto"/>
          <w:sz w:val="28"/>
          <w:szCs w:val="28"/>
          <w:highlight w:val="none"/>
        </w:rPr>
        <w:t>工资、社会保险费、</w:t>
      </w:r>
      <w:r>
        <w:rPr>
          <w:rFonts w:hint="eastAsia" w:ascii="仿宋_GB2312" w:hAnsi="仿宋_GB2312" w:eastAsia="仿宋_GB2312" w:cs="仿宋_GB2312"/>
          <w:color w:val="auto"/>
          <w:sz w:val="28"/>
          <w:szCs w:val="28"/>
          <w:highlight w:val="none"/>
          <w:lang w:val="en-US" w:eastAsia="zh-CN"/>
        </w:rPr>
        <w:t>加班费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福利费</w:t>
      </w:r>
      <w:r>
        <w:rPr>
          <w:rFonts w:hint="eastAsia" w:ascii="仿宋_GB2312" w:hAnsi="仿宋_GB2312" w:eastAsia="仿宋_GB2312" w:cs="仿宋_GB2312"/>
          <w:b w:val="0"/>
          <w:bCs w:val="0"/>
          <w:i w:val="0"/>
          <w:iCs w:val="0"/>
          <w:caps w:val="0"/>
          <w:color w:val="auto"/>
          <w:spacing w:val="0"/>
          <w:sz w:val="28"/>
          <w:szCs w:val="28"/>
          <w:highlight w:val="none"/>
          <w:shd w:val="clear" w:fill="auto"/>
        </w:rPr>
        <w:t>且人员人均月均实发工资不得低于上饶市信州区最低工资标准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机械设备费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服务耗材费、</w:t>
      </w:r>
      <w:r>
        <w:rPr>
          <w:rFonts w:hint="eastAsia" w:ascii="仿宋_GB2312" w:hAnsi="仿宋_GB2312" w:eastAsia="仿宋_GB2312" w:cs="仿宋_GB2312"/>
          <w:color w:val="auto"/>
          <w:sz w:val="28"/>
          <w:szCs w:val="28"/>
          <w:highlight w:val="none"/>
          <w:lang w:val="en-US" w:eastAsia="zh-CN"/>
        </w:rPr>
        <w:t>其他费用(</w:t>
      </w:r>
      <w:r>
        <w:rPr>
          <w:rFonts w:hint="eastAsia" w:ascii="仿宋_GB2312" w:hAnsi="仿宋_GB2312" w:eastAsia="仿宋_GB2312" w:cs="仿宋_GB2312"/>
          <w:color w:val="auto"/>
          <w:sz w:val="28"/>
          <w:szCs w:val="28"/>
          <w:highlight w:val="none"/>
        </w:rPr>
        <w:t>行政办公费、管理费、利润</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税费及采购文件中约定应由</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完成的本项目全部服务内容所需全部费用。</w:t>
      </w:r>
    </w:p>
    <w:p w14:paraId="6667E18B">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（二）项目概况</w:t>
      </w:r>
    </w:p>
    <w:p w14:paraId="15CBE1BA">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（1）服务区域范围</w:t>
      </w:r>
    </w:p>
    <w:p w14:paraId="09DAE63C">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上饶市中心血站位于上饶市信州区钟灵路9号，办公大楼建筑面积</w:t>
      </w:r>
      <w:r>
        <w:rPr>
          <w:rFonts w:hint="eastAsia" w:ascii="仿宋_GB2312" w:hAnsi="仿宋_GB2312" w:eastAsia="仿宋_GB2312" w:cs="仿宋_GB2312"/>
          <w:color w:val="75BD42" w:themeColor="accent4"/>
          <w:sz w:val="28"/>
          <w:szCs w:val="28"/>
          <w:highlight w:val="none"/>
          <w:lang w:val="en-US" w:eastAsia="zh-CN"/>
          <w14:textFill>
            <w14:solidFill>
              <w14:schemeClr w14:val="accent4"/>
            </w14:solidFill>
          </w14:textFill>
        </w:rPr>
        <w:t>2600</w:t>
      </w:r>
      <w:r>
        <w:rPr>
          <w:rFonts w:hint="eastAsia" w:ascii="仿宋_GB2312" w:hAnsi="仿宋_GB2312" w:eastAsia="仿宋_GB2312" w:cs="仿宋_GB2312"/>
          <w:color w:val="auto"/>
          <w:sz w:val="28"/>
          <w:szCs w:val="28"/>
          <w:highlight w:val="none"/>
          <w:lang w:val="en-US" w:eastAsia="zh-CN"/>
        </w:rPr>
        <w:t>平方米，共6层。新业务大楼位于上饶市</w:t>
      </w:r>
      <w:r>
        <w:rPr>
          <w:rFonts w:hint="eastAsia" w:ascii="仿宋_GB2312" w:hAnsi="仿宋_GB2312" w:eastAsia="仿宋_GB2312" w:cs="仿宋_GB2312"/>
          <w:color w:val="75BD42" w:themeColor="accent4"/>
          <w:sz w:val="28"/>
          <w:szCs w:val="28"/>
          <w:highlight w:val="none"/>
          <w:lang w:val="en-US" w:eastAsia="zh-CN"/>
          <w14:textFill>
            <w14:solidFill>
              <w14:schemeClr w14:val="accent4"/>
            </w14:solidFill>
          </w14:textFill>
        </w:rPr>
        <w:t>杨家湖路278号</w:t>
      </w:r>
      <w:r>
        <w:rPr>
          <w:rFonts w:hint="eastAsia" w:ascii="仿宋_GB2312" w:hAnsi="仿宋_GB2312" w:eastAsia="仿宋_GB2312" w:cs="仿宋_GB2312"/>
          <w:color w:val="auto"/>
          <w:sz w:val="28"/>
          <w:szCs w:val="28"/>
          <w:highlight w:val="none"/>
          <w:lang w:val="en-US" w:eastAsia="zh-CN"/>
        </w:rPr>
        <w:t>，占地面积建筑面积11909.78平方米，其中地面6层共</w:t>
      </w:r>
      <w:r>
        <w:rPr>
          <w:rFonts w:hint="eastAsia" w:ascii="仿宋_GB2312" w:hAnsi="仿宋_GB2312" w:eastAsia="仿宋_GB2312" w:cs="仿宋_GB2312"/>
          <w:color w:val="75BD42" w:themeColor="accent4"/>
          <w:sz w:val="28"/>
          <w:szCs w:val="28"/>
          <w:highlight w:val="none"/>
          <w:lang w:val="en-US" w:eastAsia="zh-CN"/>
          <w14:textFill>
            <w14:solidFill>
              <w14:schemeClr w14:val="accent4"/>
            </w14:solidFill>
          </w14:textFill>
        </w:rPr>
        <w:t>7897.76</w:t>
      </w:r>
      <w:r>
        <w:rPr>
          <w:rFonts w:hint="eastAsia" w:ascii="仿宋_GB2312" w:hAnsi="仿宋_GB2312" w:eastAsia="仿宋_GB2312" w:cs="仿宋_GB2312"/>
          <w:color w:val="auto"/>
          <w:sz w:val="28"/>
          <w:szCs w:val="28"/>
          <w:highlight w:val="none"/>
          <w:lang w:val="en-US" w:eastAsia="zh-CN"/>
        </w:rPr>
        <w:t>平方米，地下1层4000平方米，设地下停车位</w:t>
      </w:r>
      <w:r>
        <w:rPr>
          <w:rFonts w:hint="eastAsia" w:ascii="仿宋_GB2312" w:hAnsi="仿宋_GB2312" w:eastAsia="仿宋_GB2312" w:cs="仿宋_GB2312"/>
          <w:color w:val="75BD42" w:themeColor="accent4"/>
          <w:sz w:val="28"/>
          <w:szCs w:val="28"/>
          <w:highlight w:val="none"/>
          <w:lang w:val="en-US" w:eastAsia="zh-CN"/>
          <w14:textFill>
            <w14:solidFill>
              <w14:schemeClr w14:val="accent4"/>
            </w14:solidFill>
          </w14:textFill>
        </w:rPr>
        <w:t>49</w:t>
      </w:r>
      <w:r>
        <w:rPr>
          <w:rFonts w:hint="eastAsia" w:ascii="仿宋_GB2312" w:hAnsi="仿宋_GB2312" w:eastAsia="仿宋_GB2312" w:cs="仿宋_GB2312"/>
          <w:color w:val="auto"/>
          <w:sz w:val="28"/>
          <w:szCs w:val="28"/>
          <w:highlight w:val="none"/>
          <w:lang w:val="en-US" w:eastAsia="zh-CN"/>
        </w:rPr>
        <w:t>个。</w:t>
      </w:r>
    </w:p>
    <w:p w14:paraId="58482DB6">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服务区域：业务楼公共区域、院内、门前、会议室等区域。</w:t>
      </w:r>
    </w:p>
    <w:p w14:paraId="39A45BAD">
      <w:pPr>
        <w:keepLines w:val="0"/>
        <w:pageBreakBefore w:val="0"/>
        <w:widowControl w:val="0"/>
        <w:kinsoku/>
        <w:wordWrap/>
        <w:overflowPunct/>
        <w:topLinePunct w:val="0"/>
        <w:autoSpaceDE w:val="0"/>
        <w:autoSpaceDN w:val="0"/>
        <w:bidi w:val="0"/>
        <w:spacing w:after="0" w:line="360" w:lineRule="auto"/>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服务内容：秩序管理维护服务、卫生清洁服务、电梯清洁消毒等服务工作。</w:t>
      </w:r>
    </w:p>
    <w:p w14:paraId="29236604">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color w:val="FF0000"/>
          <w:sz w:val="28"/>
          <w:szCs w:val="28"/>
          <w:highlight w:val="none"/>
        </w:rPr>
        <w:t>(2)设备、设施情况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245"/>
        <w:gridCol w:w="2541"/>
        <w:gridCol w:w="1059"/>
        <w:gridCol w:w="1080"/>
        <w:gridCol w:w="2619"/>
      </w:tblGrid>
      <w:tr w14:paraId="3750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552999AA">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245" w:type="dxa"/>
            <w:vAlign w:val="center"/>
          </w:tcPr>
          <w:p w14:paraId="0C29468E">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区域</w:t>
            </w:r>
          </w:p>
        </w:tc>
        <w:tc>
          <w:tcPr>
            <w:tcW w:w="2541" w:type="dxa"/>
            <w:vAlign w:val="center"/>
          </w:tcPr>
          <w:p w14:paraId="533E80C0">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设备、设施名称</w:t>
            </w:r>
          </w:p>
        </w:tc>
        <w:tc>
          <w:tcPr>
            <w:tcW w:w="1059" w:type="dxa"/>
            <w:vAlign w:val="center"/>
          </w:tcPr>
          <w:p w14:paraId="45D78CDD">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1080" w:type="dxa"/>
            <w:vAlign w:val="center"/>
          </w:tcPr>
          <w:p w14:paraId="0AD45B77">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w:t>
            </w:r>
          </w:p>
        </w:tc>
        <w:tc>
          <w:tcPr>
            <w:tcW w:w="2619" w:type="dxa"/>
            <w:vAlign w:val="center"/>
          </w:tcPr>
          <w:p w14:paraId="43F7D7E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2820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2B0ADE6B">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w:t>
            </w:r>
          </w:p>
        </w:tc>
        <w:tc>
          <w:tcPr>
            <w:tcW w:w="1245" w:type="dxa"/>
            <w:vAlign w:val="center"/>
          </w:tcPr>
          <w:p w14:paraId="1513D19E">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lang w:val="en-US" w:eastAsia="zh-CN"/>
              </w:rPr>
            </w:pPr>
          </w:p>
        </w:tc>
        <w:tc>
          <w:tcPr>
            <w:tcW w:w="2541" w:type="dxa"/>
            <w:vAlign w:val="center"/>
          </w:tcPr>
          <w:p w14:paraId="4B764F9F">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火灾自动报警系统</w:t>
            </w:r>
          </w:p>
        </w:tc>
        <w:tc>
          <w:tcPr>
            <w:tcW w:w="1059" w:type="dxa"/>
            <w:vAlign w:val="center"/>
          </w:tcPr>
          <w:p w14:paraId="15E40842">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w:t>
            </w:r>
          </w:p>
        </w:tc>
        <w:tc>
          <w:tcPr>
            <w:tcW w:w="1080" w:type="dxa"/>
            <w:vAlign w:val="center"/>
          </w:tcPr>
          <w:p w14:paraId="32D5C77E">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套</w:t>
            </w:r>
          </w:p>
        </w:tc>
        <w:tc>
          <w:tcPr>
            <w:tcW w:w="2619" w:type="dxa"/>
            <w:vAlign w:val="center"/>
          </w:tcPr>
          <w:p w14:paraId="553212B1">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462A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3E2E3D36">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2</w:t>
            </w:r>
          </w:p>
        </w:tc>
        <w:tc>
          <w:tcPr>
            <w:tcW w:w="1245" w:type="dxa"/>
            <w:vAlign w:val="center"/>
          </w:tcPr>
          <w:p w14:paraId="5A7E2829">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7B63E89B">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配电、发电系统</w:t>
            </w:r>
          </w:p>
        </w:tc>
        <w:tc>
          <w:tcPr>
            <w:tcW w:w="1059" w:type="dxa"/>
            <w:vAlign w:val="center"/>
          </w:tcPr>
          <w:p w14:paraId="675B7660">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w:t>
            </w:r>
          </w:p>
        </w:tc>
        <w:tc>
          <w:tcPr>
            <w:tcW w:w="1080" w:type="dxa"/>
            <w:vAlign w:val="center"/>
          </w:tcPr>
          <w:p w14:paraId="31D6C571">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套</w:t>
            </w:r>
          </w:p>
        </w:tc>
        <w:tc>
          <w:tcPr>
            <w:tcW w:w="2619" w:type="dxa"/>
            <w:vAlign w:val="center"/>
          </w:tcPr>
          <w:p w14:paraId="44C6B4F5">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6077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548A83D7">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3</w:t>
            </w:r>
          </w:p>
        </w:tc>
        <w:tc>
          <w:tcPr>
            <w:tcW w:w="1245" w:type="dxa"/>
            <w:vAlign w:val="center"/>
          </w:tcPr>
          <w:p w14:paraId="00A399C7">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2689F41C">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污水处理系统</w:t>
            </w:r>
          </w:p>
        </w:tc>
        <w:tc>
          <w:tcPr>
            <w:tcW w:w="1059" w:type="dxa"/>
            <w:vAlign w:val="center"/>
          </w:tcPr>
          <w:p w14:paraId="08B13322">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w:t>
            </w:r>
          </w:p>
        </w:tc>
        <w:tc>
          <w:tcPr>
            <w:tcW w:w="1080" w:type="dxa"/>
            <w:vAlign w:val="center"/>
          </w:tcPr>
          <w:p w14:paraId="27DAB8A4">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套</w:t>
            </w:r>
          </w:p>
        </w:tc>
        <w:tc>
          <w:tcPr>
            <w:tcW w:w="2619" w:type="dxa"/>
            <w:vAlign w:val="center"/>
          </w:tcPr>
          <w:p w14:paraId="04C9BB85">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6CEB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5B19CAF5">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4</w:t>
            </w:r>
          </w:p>
        </w:tc>
        <w:tc>
          <w:tcPr>
            <w:tcW w:w="1245" w:type="dxa"/>
            <w:vAlign w:val="center"/>
          </w:tcPr>
          <w:p w14:paraId="43791D9A">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417766E9">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电梯</w:t>
            </w:r>
          </w:p>
        </w:tc>
        <w:tc>
          <w:tcPr>
            <w:tcW w:w="1059" w:type="dxa"/>
            <w:vAlign w:val="center"/>
          </w:tcPr>
          <w:p w14:paraId="619F1A73">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4</w:t>
            </w:r>
          </w:p>
        </w:tc>
        <w:tc>
          <w:tcPr>
            <w:tcW w:w="1080" w:type="dxa"/>
            <w:vAlign w:val="center"/>
          </w:tcPr>
          <w:p w14:paraId="0FF1F8B5">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台</w:t>
            </w:r>
          </w:p>
        </w:tc>
        <w:tc>
          <w:tcPr>
            <w:tcW w:w="2619" w:type="dxa"/>
            <w:vAlign w:val="center"/>
          </w:tcPr>
          <w:p w14:paraId="57AF3D88">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4814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174752F0">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5</w:t>
            </w:r>
          </w:p>
        </w:tc>
        <w:tc>
          <w:tcPr>
            <w:tcW w:w="1245" w:type="dxa"/>
            <w:vAlign w:val="center"/>
          </w:tcPr>
          <w:p w14:paraId="1DCFF792">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7FCEC17C">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中央空调系统</w:t>
            </w:r>
          </w:p>
        </w:tc>
        <w:tc>
          <w:tcPr>
            <w:tcW w:w="1059" w:type="dxa"/>
            <w:vAlign w:val="center"/>
          </w:tcPr>
          <w:p w14:paraId="3390F62E">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w:t>
            </w:r>
          </w:p>
        </w:tc>
        <w:tc>
          <w:tcPr>
            <w:tcW w:w="1080" w:type="dxa"/>
            <w:vAlign w:val="center"/>
          </w:tcPr>
          <w:p w14:paraId="2CEA4123">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套</w:t>
            </w:r>
          </w:p>
        </w:tc>
        <w:tc>
          <w:tcPr>
            <w:tcW w:w="2619" w:type="dxa"/>
            <w:vAlign w:val="center"/>
          </w:tcPr>
          <w:p w14:paraId="5AC5C78D">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3E1D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2B51632A">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6</w:t>
            </w:r>
          </w:p>
        </w:tc>
        <w:tc>
          <w:tcPr>
            <w:tcW w:w="1245" w:type="dxa"/>
            <w:vAlign w:val="center"/>
          </w:tcPr>
          <w:p w14:paraId="7929D546">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6C2F13B0">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监控系统</w:t>
            </w:r>
          </w:p>
        </w:tc>
        <w:tc>
          <w:tcPr>
            <w:tcW w:w="1059" w:type="dxa"/>
            <w:vAlign w:val="center"/>
          </w:tcPr>
          <w:p w14:paraId="437C10E2">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w:t>
            </w:r>
          </w:p>
        </w:tc>
        <w:tc>
          <w:tcPr>
            <w:tcW w:w="1080" w:type="dxa"/>
            <w:vAlign w:val="center"/>
          </w:tcPr>
          <w:p w14:paraId="32E94EBE">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套</w:t>
            </w:r>
          </w:p>
        </w:tc>
        <w:tc>
          <w:tcPr>
            <w:tcW w:w="2619" w:type="dxa"/>
            <w:vAlign w:val="center"/>
          </w:tcPr>
          <w:p w14:paraId="4A9D4AF9">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250E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2E196A5D">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7</w:t>
            </w:r>
          </w:p>
        </w:tc>
        <w:tc>
          <w:tcPr>
            <w:tcW w:w="1245" w:type="dxa"/>
            <w:vAlign w:val="center"/>
          </w:tcPr>
          <w:p w14:paraId="37334351">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272CF70E">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实验室</w:t>
            </w:r>
          </w:p>
        </w:tc>
        <w:tc>
          <w:tcPr>
            <w:tcW w:w="1059" w:type="dxa"/>
            <w:vAlign w:val="center"/>
          </w:tcPr>
          <w:p w14:paraId="056FF828">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2</w:t>
            </w:r>
          </w:p>
        </w:tc>
        <w:tc>
          <w:tcPr>
            <w:tcW w:w="1080" w:type="dxa"/>
            <w:vAlign w:val="center"/>
          </w:tcPr>
          <w:p w14:paraId="643D5F2C">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层</w:t>
            </w:r>
          </w:p>
        </w:tc>
        <w:tc>
          <w:tcPr>
            <w:tcW w:w="2619" w:type="dxa"/>
            <w:vAlign w:val="center"/>
          </w:tcPr>
          <w:p w14:paraId="0EE552C8">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r w14:paraId="7B92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654DDA2E">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8</w:t>
            </w:r>
          </w:p>
        </w:tc>
        <w:tc>
          <w:tcPr>
            <w:tcW w:w="1245" w:type="dxa"/>
            <w:vAlign w:val="center"/>
          </w:tcPr>
          <w:p w14:paraId="0CAF4389">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c>
          <w:tcPr>
            <w:tcW w:w="2541" w:type="dxa"/>
            <w:vAlign w:val="center"/>
          </w:tcPr>
          <w:p w14:paraId="32414D72">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各类血液制备、试验、存储等设备</w:t>
            </w:r>
          </w:p>
        </w:tc>
        <w:tc>
          <w:tcPr>
            <w:tcW w:w="1059" w:type="dxa"/>
            <w:vAlign w:val="center"/>
          </w:tcPr>
          <w:p w14:paraId="235D7132">
            <w:pPr>
              <w:keepLines w:val="0"/>
              <w:pageBreakBefore w:val="0"/>
              <w:widowControl w:val="0"/>
              <w:kinsoku/>
              <w:wordWrap/>
              <w:overflowPunct/>
              <w:topLinePunct w:val="0"/>
              <w:autoSpaceDE w:val="0"/>
              <w:autoSpaceDN w:val="0"/>
              <w:bidi w:val="0"/>
              <w:spacing w:after="0" w:line="480" w:lineRule="exact"/>
              <w:ind w:firstLine="0" w:firstLineChars="0"/>
              <w:jc w:val="center"/>
              <w:textAlignment w:val="auto"/>
              <w:outlineLvl w:val="1"/>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若干</w:t>
            </w:r>
          </w:p>
        </w:tc>
        <w:tc>
          <w:tcPr>
            <w:tcW w:w="1080" w:type="dxa"/>
            <w:vAlign w:val="center"/>
          </w:tcPr>
          <w:p w14:paraId="3EAF5BDA">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lang w:val="en-US" w:eastAsia="zh-CN"/>
              </w:rPr>
            </w:pPr>
          </w:p>
        </w:tc>
        <w:tc>
          <w:tcPr>
            <w:tcW w:w="2619" w:type="dxa"/>
            <w:vAlign w:val="center"/>
          </w:tcPr>
          <w:p w14:paraId="14CEA297">
            <w:pPr>
              <w:keepLines w:val="0"/>
              <w:pageBreakBefore w:val="0"/>
              <w:widowControl w:val="0"/>
              <w:kinsoku/>
              <w:wordWrap/>
              <w:overflowPunct/>
              <w:topLinePunct w:val="0"/>
              <w:autoSpaceDE w:val="0"/>
              <w:autoSpaceDN w:val="0"/>
              <w:bidi w:val="0"/>
              <w:spacing w:after="0" w:line="480" w:lineRule="exact"/>
              <w:ind w:firstLine="560" w:firstLineChars="200"/>
              <w:jc w:val="center"/>
              <w:textAlignment w:val="auto"/>
              <w:outlineLvl w:val="1"/>
              <w:rPr>
                <w:rFonts w:hint="eastAsia" w:ascii="仿宋_GB2312" w:hAnsi="仿宋_GB2312" w:eastAsia="仿宋_GB2312" w:cs="仿宋_GB2312"/>
                <w:color w:val="FF0000"/>
                <w:sz w:val="28"/>
                <w:szCs w:val="28"/>
                <w:highlight w:val="none"/>
              </w:rPr>
            </w:pPr>
          </w:p>
        </w:tc>
      </w:tr>
    </w:tbl>
    <w:p w14:paraId="36EA631B">
      <w:pPr>
        <w:keepLines w:val="0"/>
        <w:pageBreakBefore w:val="0"/>
        <w:widowControl w:val="0"/>
        <w:kinsoku/>
        <w:wordWrap/>
        <w:overflowPunct/>
        <w:topLinePunct w:val="0"/>
        <w:autoSpaceDE w:val="0"/>
        <w:autoSpaceDN w:val="0"/>
        <w:bidi w:val="0"/>
        <w:spacing w:after="0" w:line="360" w:lineRule="auto"/>
        <w:ind w:firstLine="562" w:firstLineChars="200"/>
        <w:jc w:val="both"/>
        <w:textAlignment w:val="auto"/>
        <w:outlineLvl w:val="1"/>
        <w:rPr>
          <w:rFonts w:hint="eastAsia" w:ascii="方正楷体_GB2312" w:hAnsi="方正楷体_GB2312" w:eastAsia="方正楷体_GB2312" w:cs="方正楷体_GB2312"/>
          <w:b/>
          <w:bCs/>
          <w:color w:val="auto"/>
          <w:sz w:val="28"/>
          <w:szCs w:val="28"/>
          <w:highlight w:val="none"/>
        </w:rPr>
      </w:pPr>
      <w:r>
        <w:rPr>
          <w:rFonts w:hint="eastAsia" w:ascii="方正楷体_GB2312" w:hAnsi="方正楷体_GB2312" w:eastAsia="方正楷体_GB2312" w:cs="方正楷体_GB2312"/>
          <w:b/>
          <w:bCs/>
          <w:color w:val="auto"/>
          <w:sz w:val="28"/>
          <w:szCs w:val="28"/>
          <w:highlight w:val="none"/>
        </w:rPr>
        <w:t>二、服务需求</w:t>
      </w:r>
    </w:p>
    <w:p w14:paraId="5C1260D9">
      <w:pPr>
        <w:keepLines w:val="0"/>
        <w:pageBreakBefore w:val="0"/>
        <w:widowControl w:val="0"/>
        <w:kinsoku/>
        <w:wordWrap/>
        <w:overflowPunct/>
        <w:topLinePunct w:val="0"/>
        <w:autoSpaceDE w:val="0"/>
        <w:autoSpaceDN w:val="0"/>
        <w:bidi w:val="0"/>
        <w:spacing w:after="0" w:line="360" w:lineRule="auto"/>
        <w:ind w:firstLine="281" w:firstLineChars="1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（一）服务内容：</w:t>
      </w:r>
    </w:p>
    <w:p w14:paraId="4F637E51">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1.秩序管理维护服务：实行二十四小时值班制，包括门卫值班；来访来人登记；物业管理区域内巡逻；消防器材的巡查；交通疏导；车辆秩序等服务。</w:t>
      </w:r>
    </w:p>
    <w:p w14:paraId="77389010">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2.卫生清洁服务：</w:t>
      </w:r>
      <w:r>
        <w:rPr>
          <w:rFonts w:hint="eastAsia" w:ascii="仿宋_GB2312" w:hAnsi="仿宋_GB2312" w:eastAsia="仿宋_GB2312" w:cs="仿宋_GB2312"/>
          <w:color w:val="FF0000"/>
          <w:sz w:val="28"/>
          <w:szCs w:val="28"/>
          <w:highlight w:val="none"/>
          <w:lang w:val="en-US" w:eastAsia="zh-CN" w:bidi="ar-SA"/>
        </w:rPr>
        <w:t>日常公共区域</w:t>
      </w:r>
      <w:r>
        <w:rPr>
          <w:rFonts w:hint="eastAsia" w:ascii="仿宋_GB2312" w:hAnsi="仿宋_GB2312" w:eastAsia="仿宋_GB2312" w:cs="仿宋_GB2312"/>
          <w:color w:val="FF0000"/>
          <w:sz w:val="28"/>
          <w:szCs w:val="28"/>
          <w:highlight w:val="none"/>
          <w:lang w:val="en-US" w:eastAsia="zh-CN" w:bidi="ar-SA"/>
        </w:rPr>
        <w:t>室内外清洁、保洁服务，</w:t>
      </w:r>
      <w:r>
        <w:rPr>
          <w:rFonts w:hint="eastAsia" w:ascii="仿宋_GB2312" w:hAnsi="仿宋_GB2312" w:eastAsia="仿宋_GB2312" w:cs="仿宋_GB2312"/>
          <w:color w:val="FF0000"/>
          <w:sz w:val="28"/>
          <w:szCs w:val="28"/>
          <w:highlight w:val="none"/>
          <w:lang w:val="en-US" w:eastAsia="zh-CN" w:bidi="ar-SA"/>
        </w:rPr>
        <w:t>包括地面、楼道、天花板等清扫保洁；设施设备清抹；垃圾收集外运；管网清掏疏通；病媒防治消杀除虫；二次供水水箱等储水设施清洗、消毒等服务；</w:t>
      </w:r>
      <w:r>
        <w:rPr>
          <w:rFonts w:hint="eastAsia" w:ascii="仿宋_GB2312" w:hAnsi="仿宋_GB2312" w:eastAsia="仿宋_GB2312" w:cs="仿宋_GB2312"/>
          <w:color w:val="auto"/>
          <w:sz w:val="28"/>
          <w:szCs w:val="28"/>
          <w:highlight w:val="none"/>
          <w:lang w:val="en-US" w:eastAsia="zh-CN" w:bidi="ar-SA"/>
        </w:rPr>
        <w:t>针对血站的特殊要求，制定完整的防止交叉感染、消毒隔离制度，在血站的监管下严格按照制度实施作业，配有有效的清洁设备与工具，具备标准化的工作流程及应急措施，完整的质量监督程序及保养方案，生活垃圾日产日清；卫生清洁、保洁过程中使用的清洁剂必须选用无公害环保产品，不得使用对环境造成二次污染及三无的产品。</w:t>
      </w:r>
    </w:p>
    <w:p w14:paraId="5494069C">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3.清洗消毒服务：</w:t>
      </w:r>
      <w:r>
        <w:rPr>
          <w:rFonts w:hint="eastAsia" w:ascii="仿宋_GB2312" w:hAnsi="仿宋_GB2312" w:eastAsia="仿宋_GB2312" w:cs="仿宋_GB2312"/>
          <w:color w:val="FF0000"/>
          <w:sz w:val="28"/>
          <w:szCs w:val="28"/>
          <w:highlight w:val="none"/>
          <w:lang w:val="en-US" w:eastAsia="zh-CN" w:bidi="ar-SA"/>
        </w:rPr>
        <w:t>工作服清洗、</w:t>
      </w:r>
      <w:r>
        <w:rPr>
          <w:rFonts w:hint="eastAsia" w:ascii="仿宋_GB2312" w:hAnsi="仿宋_GB2312" w:eastAsia="仿宋_GB2312" w:cs="仿宋_GB2312"/>
          <w:color w:val="auto"/>
          <w:sz w:val="28"/>
          <w:szCs w:val="28"/>
          <w:highlight w:val="none"/>
          <w:lang w:val="en-US" w:eastAsia="zh-CN" w:bidi="ar-SA"/>
        </w:rPr>
        <w:t>电梯环境消毒、终末消毒。</w:t>
      </w:r>
    </w:p>
    <w:p w14:paraId="6DA528C2">
      <w:pPr>
        <w:pStyle w:val="13"/>
        <w:keepLines w:val="0"/>
        <w:pageBreakBefore w:val="0"/>
        <w:widowControl w:val="0"/>
        <w:kinsoku/>
        <w:wordWrap/>
        <w:overflowPunct/>
        <w:topLinePunct w:val="0"/>
        <w:bidi w:val="0"/>
        <w:spacing w:after="0" w:line="360" w:lineRule="auto"/>
        <w:ind w:firstLine="620" w:firstLineChars="200"/>
        <w:jc w:val="both"/>
        <w:textAlignment w:val="auto"/>
        <w:rPr>
          <w:rFonts w:hint="eastAsia" w:ascii="宋体" w:hAnsi="宋体" w:eastAsia="宋体" w:cs="宋体"/>
          <w:i w:val="0"/>
          <w:iCs w:val="0"/>
          <w:caps w:val="0"/>
          <w:spacing w:val="15"/>
          <w:sz w:val="28"/>
          <w:szCs w:val="28"/>
          <w:shd w:val="clear" w:fill="FFFFFF"/>
        </w:rPr>
      </w:pPr>
      <w:r>
        <w:rPr>
          <w:rFonts w:hint="default" w:ascii="Calibri" w:hAnsi="Calibri" w:eastAsia="宋体" w:cs="Calibri"/>
          <w:i w:val="0"/>
          <w:iCs w:val="0"/>
          <w:caps w:val="0"/>
          <w:spacing w:val="15"/>
          <w:sz w:val="28"/>
          <w:szCs w:val="28"/>
          <w:shd w:val="clear" w:fill="FFFFFF"/>
        </w:rPr>
        <w:t>4.</w:t>
      </w:r>
      <w:r>
        <w:rPr>
          <w:rFonts w:hint="eastAsia" w:ascii="宋体" w:hAnsi="宋体" w:eastAsia="宋体" w:cs="宋体"/>
          <w:i w:val="0"/>
          <w:iCs w:val="0"/>
          <w:caps w:val="0"/>
          <w:spacing w:val="15"/>
          <w:sz w:val="28"/>
          <w:szCs w:val="28"/>
          <w:shd w:val="clear" w:fill="FFFFFF"/>
        </w:rPr>
        <w:t>设备设施维护服务：设备设施的日常运行管理、维修养护。物业负责的工程维修方面，包含管理区域内公共区域的建筑物各设施的日常管理，</w:t>
      </w:r>
      <w:r>
        <w:rPr>
          <w:rFonts w:hint="eastAsia" w:ascii="宋体" w:hAnsi="宋体" w:eastAsia="宋体" w:cs="宋体"/>
          <w:i w:val="0"/>
          <w:iCs w:val="0"/>
          <w:caps w:val="0"/>
          <w:spacing w:val="15"/>
          <w:sz w:val="28"/>
          <w:szCs w:val="28"/>
          <w:shd w:val="clear" w:fill="FFFFFF"/>
          <w:lang w:val="en-US" w:eastAsia="zh-CN"/>
        </w:rPr>
        <w:t>消防、</w:t>
      </w:r>
      <w:r>
        <w:rPr>
          <w:rFonts w:hint="eastAsia" w:ascii="宋体" w:hAnsi="宋体" w:eastAsia="宋体" w:cs="宋体"/>
          <w:i w:val="0"/>
          <w:iCs w:val="0"/>
          <w:caps w:val="0"/>
          <w:spacing w:val="15"/>
          <w:sz w:val="28"/>
          <w:szCs w:val="28"/>
          <w:shd w:val="clear" w:fill="FFFFFF"/>
        </w:rPr>
        <w:t>给排水等系统各设备的日常管理；以及各设施和设备小型日常维护维修（单项单次</w:t>
      </w:r>
      <w:r>
        <w:rPr>
          <w:rFonts w:hint="default" w:ascii="Calibri" w:hAnsi="Calibri" w:eastAsia="宋体" w:cs="Calibri"/>
          <w:i w:val="0"/>
          <w:iCs w:val="0"/>
          <w:caps w:val="0"/>
          <w:spacing w:val="15"/>
          <w:sz w:val="28"/>
          <w:szCs w:val="28"/>
          <w:shd w:val="clear" w:fill="FFFFFF"/>
        </w:rPr>
        <w:t>200</w:t>
      </w:r>
      <w:r>
        <w:rPr>
          <w:rFonts w:hint="eastAsia" w:ascii="宋体" w:hAnsi="宋体" w:eastAsia="宋体" w:cs="宋体"/>
          <w:i w:val="0"/>
          <w:iCs w:val="0"/>
          <w:caps w:val="0"/>
          <w:spacing w:val="15"/>
          <w:sz w:val="28"/>
          <w:szCs w:val="28"/>
          <w:shd w:val="clear" w:fill="FFFFFF"/>
        </w:rPr>
        <w:t>元以下，材料费由采购方支付）。电梯、消防、中央空调</w:t>
      </w:r>
      <w:r>
        <w:rPr>
          <w:rFonts w:hint="eastAsia" w:ascii="宋体" w:hAnsi="宋体" w:eastAsia="宋体" w:cs="宋体"/>
          <w:i w:val="0"/>
          <w:iCs w:val="0"/>
          <w:caps w:val="0"/>
          <w:spacing w:val="15"/>
          <w:sz w:val="28"/>
          <w:szCs w:val="28"/>
          <w:shd w:val="clear" w:fill="FFFFFF"/>
          <w:lang w:eastAsia="zh-CN"/>
        </w:rPr>
        <w:t>、</w:t>
      </w:r>
      <w:r>
        <w:rPr>
          <w:rFonts w:hint="eastAsia" w:ascii="宋体" w:hAnsi="宋体" w:eastAsia="宋体" w:cs="宋体"/>
          <w:i w:val="0"/>
          <w:iCs w:val="0"/>
          <w:caps w:val="0"/>
          <w:spacing w:val="15"/>
          <w:sz w:val="28"/>
          <w:szCs w:val="28"/>
          <w:shd w:val="clear" w:fill="FFFFFF"/>
          <w:lang w:val="en-US" w:eastAsia="zh-CN"/>
        </w:rPr>
        <w:t>电力</w:t>
      </w:r>
      <w:r>
        <w:rPr>
          <w:rFonts w:hint="eastAsia" w:ascii="宋体" w:hAnsi="宋体" w:eastAsia="宋体" w:cs="宋体"/>
          <w:i w:val="0"/>
          <w:iCs w:val="0"/>
          <w:caps w:val="0"/>
          <w:spacing w:val="15"/>
          <w:sz w:val="28"/>
          <w:szCs w:val="28"/>
          <w:shd w:val="clear" w:fill="FFFFFF"/>
        </w:rPr>
        <w:t>系统由采购单位另外采购专业机构进行维保维修，物业公司只需负责日常管理。</w:t>
      </w:r>
    </w:p>
    <w:p w14:paraId="4BB46C75">
      <w:pPr>
        <w:pStyle w:val="13"/>
        <w:keepLines w:val="0"/>
        <w:pageBreakBefore w:val="0"/>
        <w:widowControl w:val="0"/>
        <w:kinsoku/>
        <w:wordWrap/>
        <w:overflowPunct/>
        <w:topLinePunct w:val="0"/>
        <w:bidi w:val="0"/>
        <w:spacing w:after="0" w:line="360" w:lineRule="auto"/>
        <w:ind w:firstLine="620" w:firstLineChars="200"/>
        <w:jc w:val="both"/>
        <w:textAlignment w:val="auto"/>
        <w:rPr>
          <w:rFonts w:hint="eastAsia" w:ascii="宋体" w:hAnsi="宋体" w:eastAsia="宋体" w:cs="宋体"/>
          <w:i w:val="0"/>
          <w:iCs w:val="0"/>
          <w:caps w:val="0"/>
          <w:spacing w:val="15"/>
          <w:sz w:val="28"/>
          <w:szCs w:val="28"/>
          <w:shd w:val="clear" w:fill="FFFFFF"/>
        </w:rPr>
      </w:pPr>
      <w:r>
        <w:rPr>
          <w:rFonts w:hint="default" w:ascii="Calibri" w:hAnsi="Calibri" w:eastAsia="宋体" w:cs="Calibri"/>
          <w:i w:val="0"/>
          <w:iCs w:val="0"/>
          <w:caps w:val="0"/>
          <w:spacing w:val="15"/>
          <w:sz w:val="28"/>
          <w:szCs w:val="28"/>
          <w:shd w:val="clear" w:fill="FFFFFF"/>
        </w:rPr>
        <w:t>5.</w:t>
      </w:r>
      <w:r>
        <w:rPr>
          <w:rFonts w:hint="eastAsia" w:ascii="宋体" w:hAnsi="宋体" w:eastAsia="宋体" w:cs="宋体"/>
          <w:i w:val="0"/>
          <w:iCs w:val="0"/>
          <w:caps w:val="0"/>
          <w:spacing w:val="15"/>
          <w:sz w:val="28"/>
          <w:szCs w:val="28"/>
          <w:shd w:val="clear" w:fill="FFFFFF"/>
        </w:rPr>
        <w:t>客服服务，包含客服接待、会议服务等方面。</w:t>
      </w:r>
    </w:p>
    <w:p w14:paraId="40559BF4">
      <w:pPr>
        <w:pStyle w:val="13"/>
        <w:keepLines w:val="0"/>
        <w:pageBreakBefore w:val="0"/>
        <w:widowControl w:val="0"/>
        <w:kinsoku/>
        <w:wordWrap/>
        <w:overflowPunct/>
        <w:topLinePunct w:val="0"/>
        <w:bidi w:val="0"/>
        <w:spacing w:after="0" w:line="360" w:lineRule="auto"/>
        <w:ind w:firstLine="620" w:firstLineChars="200"/>
        <w:jc w:val="both"/>
        <w:textAlignment w:val="auto"/>
        <w:rPr>
          <w:rFonts w:hint="eastAsia" w:ascii="宋体" w:hAnsi="宋体" w:eastAsia="宋体" w:cs="宋体"/>
          <w:i w:val="0"/>
          <w:iCs w:val="0"/>
          <w:caps w:val="0"/>
          <w:spacing w:val="15"/>
          <w:sz w:val="28"/>
          <w:szCs w:val="28"/>
          <w:shd w:val="clear" w:fill="FFFFFF"/>
          <w:lang w:val="en-US" w:eastAsia="zh-CN"/>
        </w:rPr>
      </w:pPr>
      <w:r>
        <w:rPr>
          <w:rFonts w:hint="default" w:ascii="Calibri" w:hAnsi="Calibri" w:eastAsia="宋体" w:cs="Calibri"/>
          <w:i w:val="0"/>
          <w:iCs w:val="0"/>
          <w:caps w:val="0"/>
          <w:spacing w:val="15"/>
          <w:sz w:val="28"/>
          <w:szCs w:val="28"/>
          <w:shd w:val="clear" w:fill="FFFFFF"/>
        </w:rPr>
        <w:t>6.</w:t>
      </w:r>
      <w:r>
        <w:rPr>
          <w:rFonts w:hint="eastAsia" w:ascii="宋体" w:hAnsi="宋体" w:eastAsia="宋体" w:cs="宋体"/>
          <w:i w:val="0"/>
          <w:iCs w:val="0"/>
          <w:caps w:val="0"/>
          <w:spacing w:val="15"/>
          <w:sz w:val="28"/>
          <w:szCs w:val="28"/>
          <w:shd w:val="clear" w:fill="FFFFFF"/>
        </w:rPr>
        <w:t>建筑物日常养护及其他管理服务：包含建筑物日常养护、应急处置要求、节能减排工作要求、其他可能出现的临时服务项目。</w:t>
      </w:r>
    </w:p>
    <w:p w14:paraId="3D4F67EC">
      <w:pPr>
        <w:keepLines w:val="0"/>
        <w:pageBreakBefore w:val="0"/>
        <w:widowControl w:val="0"/>
        <w:kinsoku/>
        <w:wordWrap/>
        <w:overflowPunct/>
        <w:topLinePunct w:val="0"/>
        <w:autoSpaceDE w:val="0"/>
        <w:autoSpaceDN w:val="0"/>
        <w:bidi w:val="0"/>
        <w:spacing w:after="0" w:line="480" w:lineRule="exact"/>
        <w:ind w:firstLine="281" w:firstLineChars="1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总体要求</w:t>
      </w:r>
      <w:r>
        <w:rPr>
          <w:rFonts w:hint="eastAsia" w:ascii="仿宋_GB2312" w:hAnsi="仿宋_GB2312" w:eastAsia="仿宋_GB2312" w:cs="仿宋_GB2312"/>
          <w:b/>
          <w:color w:val="auto"/>
          <w:sz w:val="28"/>
          <w:szCs w:val="28"/>
          <w:highlight w:val="none"/>
        </w:rPr>
        <w:t>：</w:t>
      </w:r>
    </w:p>
    <w:p w14:paraId="705D2B21">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1.中标人提供电脑、考勤设备和打印机等办公设备和耗材；</w:t>
      </w:r>
    </w:p>
    <w:p w14:paraId="1531CD35">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2.中标人的各岗位员工要统一服装，佩戴胸牌上岗，并由中标人负责其员工工服配备；</w:t>
      </w:r>
    </w:p>
    <w:p w14:paraId="7465906E">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3.中标人应具有岗前培训能力，服务人员100%经过岗前培训合格才上岗；</w:t>
      </w:r>
    </w:p>
    <w:p w14:paraId="2AAF8DC5">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中标人须提供符合规定质量标准或高于本招标文件要求的服务，且符合国家有关标准和规范要求。投标人需承诺在合同签订后7天内，所有人员及设备到位并进场服务，投标文件中拟派人员、设备应当符合采购要求；</w:t>
      </w:r>
      <w:r>
        <w:rPr>
          <w:rFonts w:hint="eastAsia" w:ascii="仿宋_GB2312" w:hAnsi="仿宋_GB2312" w:eastAsia="仿宋_GB2312" w:cs="仿宋_GB2312"/>
          <w:color w:val="auto"/>
          <w:sz w:val="28"/>
          <w:szCs w:val="28"/>
          <w:highlight w:val="none"/>
          <w:lang w:val="en-US" w:eastAsia="zh-CN" w:bidi="ar-SA"/>
        </w:rPr>
        <w:tab/>
      </w:r>
    </w:p>
    <w:p w14:paraId="4A1E8B3F">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5.中标人提供所有有关环境保洁所需的清洁、洗涤药剂和保洁工具等耗材；</w:t>
      </w:r>
    </w:p>
    <w:p w14:paraId="2E515223">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6.中标人不得在合同期限内将本项目的管理权转包或发包，否则将取消其中标资格；</w:t>
      </w:r>
    </w:p>
    <w:p w14:paraId="51AB4E2E">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7.中标人须提供足够的作业机具，自行解决后勤管理服务时所需的日常工具和劳保用品；</w:t>
      </w:r>
    </w:p>
    <w:p w14:paraId="70418545">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8.中标人须严格按照标准化的操作程序、培训体系和质量控制体系完成本项目，以保证整个后勤系统正常运转；</w:t>
      </w:r>
    </w:p>
    <w:p w14:paraId="3327AE4D">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9.中标人有责任配合血站接受上级领导部门的监督、检査，提供必须的资料；</w:t>
      </w:r>
    </w:p>
    <w:p w14:paraId="41E3FF68">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10.中标人自行负责其招聘员工的工资、福利；中标人应严格遵守国家有关的法律、法规及行业标准；</w:t>
      </w:r>
    </w:p>
    <w:p w14:paraId="1EBE9F2A">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11.所有员工入站服务时都必须体检合格才能上岗，每一年为员工体检一次，费用由中标人承担；</w:t>
      </w:r>
    </w:p>
    <w:p w14:paraId="448966B6">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12.中标人应每月按时发放员工工资，不得以任何理由拖延工资发放；</w:t>
      </w:r>
    </w:p>
    <w:p w14:paraId="0AF3838E">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13.有涉及血站切身利益的重大接待任务或上级检查任务、突发公共卫生事件及纠纷时，中标人须全力配合血站的工作需要，接到通知后应立即做好工作计划安排，如需提供相关资料的，应无偿提供，并严格按照计划实施，配合相应的整改。若确因特殊工作性质需要增加投入人力、物力，费用另行协商；</w:t>
      </w:r>
    </w:p>
    <w:p w14:paraId="6950160E">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14.中标人需按血站要求建立规范的管理体系，并无条件配合血站各项评审工作，配合血站控烟工作；</w:t>
      </w:r>
    </w:p>
    <w:p w14:paraId="16458200">
      <w:pPr>
        <w:pStyle w:val="13"/>
        <w:keepLines w:val="0"/>
        <w:pageBreakBefore w:val="0"/>
        <w:widowControl w:val="0"/>
        <w:kinsoku/>
        <w:wordWrap/>
        <w:overflowPunct/>
        <w:topLinePunct w:val="0"/>
        <w:bidi w:val="0"/>
        <w:spacing w:after="0" w:line="360" w:lineRule="auto"/>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15.设立24小时服务电话，接受服务对象对管理服务的需求、求助、建议、询问、质疑、投诉等各类信息的收集反馈。并立即处理，建立回访制度并记录。</w:t>
      </w:r>
    </w:p>
    <w:p w14:paraId="7119149D">
      <w:pPr>
        <w:pStyle w:val="13"/>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）服务要求标准</w:t>
      </w:r>
    </w:p>
    <w:p w14:paraId="39677A85">
      <w:pPr>
        <w:pStyle w:val="3"/>
        <w:spacing w:before="210" w:line="360" w:lineRule="auto"/>
        <w:rPr>
          <w:rFonts w:hint="eastAsia" w:ascii="仿宋" w:hAnsi="仿宋" w:eastAsia="仿宋" w:cs="仿宋"/>
          <w:b/>
          <w:bCs/>
          <w:color w:val="000000"/>
          <w:spacing w:val="-4"/>
          <w:sz w:val="28"/>
          <w:szCs w:val="28"/>
        </w:rPr>
      </w:pPr>
      <w:r>
        <w:rPr>
          <w:rFonts w:hint="eastAsia" w:ascii="仿宋" w:hAnsi="仿宋" w:eastAsia="仿宋" w:cs="仿宋"/>
          <w:b/>
          <w:bCs/>
          <w:color w:val="000000"/>
          <w:spacing w:val="-4"/>
          <w:sz w:val="28"/>
          <w:szCs w:val="28"/>
          <w:lang w:val="en-US" w:eastAsia="zh-CN"/>
        </w:rPr>
        <w:t>1</w:t>
      </w:r>
      <w:r>
        <w:rPr>
          <w:rFonts w:hint="eastAsia" w:ascii="仿宋" w:hAnsi="仿宋" w:eastAsia="仿宋" w:cs="仿宋"/>
          <w:b/>
          <w:bCs/>
          <w:color w:val="000000"/>
          <w:spacing w:val="-4"/>
          <w:sz w:val="28"/>
          <w:szCs w:val="28"/>
        </w:rPr>
        <w:t>、秩序维护服务</w:t>
      </w:r>
    </w:p>
    <w:p w14:paraId="47F53414">
      <w:pPr>
        <w:pStyle w:val="3"/>
        <w:spacing w:before="210" w:line="360" w:lineRule="auto"/>
        <w:rPr>
          <w:rFonts w:hint="eastAsia"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1.1 服务内容</w:t>
      </w:r>
    </w:p>
    <w:p w14:paraId="56EBABCC">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2"/>
          <w:kern w:val="2"/>
          <w:sz w:val="28"/>
          <w:szCs w:val="28"/>
          <w:lang w:val="en-US" w:eastAsia="zh-CN" w:bidi="ar-SA"/>
        </w:rPr>
      </w:pPr>
      <w:r>
        <w:rPr>
          <w:rFonts w:hint="eastAsia" w:ascii="仿宋" w:hAnsi="仿宋" w:eastAsia="仿宋" w:cs="仿宋"/>
          <w:b w:val="0"/>
          <w:bCs w:val="0"/>
          <w:color w:val="000000"/>
          <w:spacing w:val="-4"/>
          <w:sz w:val="28"/>
          <w:szCs w:val="28"/>
          <w:lang w:val="en-US" w:eastAsia="zh-CN"/>
        </w:rPr>
        <w:t xml:space="preserve">1.1.1 </w:t>
      </w:r>
      <w:r>
        <w:rPr>
          <w:rFonts w:hint="eastAsia" w:ascii="仿宋" w:hAnsi="仿宋" w:eastAsia="仿宋" w:cs="仿宋"/>
          <w:b w:val="0"/>
          <w:bCs w:val="0"/>
          <w:color w:val="000000"/>
          <w:spacing w:val="-2"/>
          <w:kern w:val="2"/>
          <w:sz w:val="28"/>
          <w:szCs w:val="28"/>
          <w:lang w:val="en-US" w:eastAsia="zh-CN" w:bidi="ar-SA"/>
        </w:rPr>
        <w:t>血站大门的 24 小时门卫管理，包括负责门口周边的车辆指挥与停放；</w:t>
      </w:r>
    </w:p>
    <w:p w14:paraId="5902E0F9">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rPr>
      </w:pPr>
      <w:r>
        <w:rPr>
          <w:rFonts w:hint="eastAsia" w:ascii="仿宋" w:hAnsi="仿宋" w:eastAsia="仿宋" w:cs="仿宋"/>
          <w:b w:val="0"/>
          <w:bCs w:val="0"/>
          <w:color w:val="000000"/>
          <w:spacing w:val="-2"/>
          <w:kern w:val="2"/>
          <w:sz w:val="28"/>
          <w:szCs w:val="28"/>
          <w:lang w:val="en-US" w:eastAsia="zh-CN" w:bidi="ar-SA"/>
        </w:rPr>
        <w:t xml:space="preserve">1.1.2 </w:t>
      </w:r>
      <w:r>
        <w:rPr>
          <w:rFonts w:hint="eastAsia" w:ascii="宋体" w:hAnsi="宋体" w:eastAsia="宋体" w:cs="宋体"/>
          <w:i w:val="0"/>
          <w:iCs w:val="0"/>
          <w:caps w:val="0"/>
          <w:spacing w:val="15"/>
          <w:sz w:val="28"/>
          <w:szCs w:val="28"/>
          <w:shd w:val="clear" w:fill="FFFFFF"/>
        </w:rPr>
        <w:t>业务上接受采购方和公安机关的指导；</w:t>
      </w:r>
    </w:p>
    <w:p w14:paraId="37038398">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lang w:eastAsia="zh-CN"/>
        </w:rPr>
      </w:pPr>
      <w:r>
        <w:rPr>
          <w:rFonts w:hint="eastAsia" w:ascii="宋体" w:hAnsi="宋体" w:eastAsia="宋体" w:cs="宋体"/>
          <w:i w:val="0"/>
          <w:iCs w:val="0"/>
          <w:caps w:val="0"/>
          <w:spacing w:val="15"/>
          <w:sz w:val="28"/>
          <w:szCs w:val="28"/>
          <w:shd w:val="clear" w:fill="FFFFFF"/>
          <w:lang w:val="en-US" w:eastAsia="zh-CN"/>
        </w:rPr>
        <w:t xml:space="preserve">1.1.3 </w:t>
      </w:r>
      <w:r>
        <w:rPr>
          <w:rFonts w:hint="eastAsia" w:ascii="宋体" w:hAnsi="宋体" w:eastAsia="宋体" w:cs="宋体"/>
          <w:i w:val="0"/>
          <w:iCs w:val="0"/>
          <w:caps w:val="0"/>
          <w:spacing w:val="15"/>
          <w:sz w:val="28"/>
          <w:szCs w:val="28"/>
          <w:shd w:val="clear" w:fill="FFFFFF"/>
        </w:rPr>
        <w:t>在危险区、安全隐患区或事故易发区设置警示标志，并采取切实可行的安全防范措施</w:t>
      </w:r>
      <w:r>
        <w:rPr>
          <w:rFonts w:hint="eastAsia" w:ascii="宋体" w:hAnsi="宋体" w:eastAsia="宋体" w:cs="宋体"/>
          <w:i w:val="0"/>
          <w:iCs w:val="0"/>
          <w:caps w:val="0"/>
          <w:spacing w:val="15"/>
          <w:sz w:val="28"/>
          <w:szCs w:val="28"/>
          <w:shd w:val="clear" w:fill="FFFFFF"/>
          <w:lang w:eastAsia="zh-CN"/>
        </w:rPr>
        <w:t>。</w:t>
      </w:r>
    </w:p>
    <w:p w14:paraId="7113041A">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rPr>
      </w:pPr>
      <w:r>
        <w:rPr>
          <w:rFonts w:hint="eastAsia" w:ascii="宋体" w:hAnsi="宋体" w:eastAsia="宋体" w:cs="宋体"/>
          <w:i w:val="0"/>
          <w:iCs w:val="0"/>
          <w:caps w:val="0"/>
          <w:spacing w:val="15"/>
          <w:sz w:val="28"/>
          <w:szCs w:val="28"/>
          <w:shd w:val="clear" w:fill="FFFFFF"/>
          <w:lang w:val="en-US" w:eastAsia="zh-CN"/>
        </w:rPr>
        <w:t xml:space="preserve">1.1.4 </w:t>
      </w:r>
      <w:r>
        <w:rPr>
          <w:rFonts w:hint="eastAsia" w:ascii="宋体" w:hAnsi="宋体" w:eastAsia="宋体" w:cs="宋体"/>
          <w:i w:val="0"/>
          <w:iCs w:val="0"/>
          <w:caps w:val="0"/>
          <w:spacing w:val="15"/>
          <w:sz w:val="28"/>
          <w:szCs w:val="28"/>
          <w:shd w:val="clear" w:fill="FFFFFF"/>
        </w:rPr>
        <w:t>有针对性地提供突发事件的安全保卫服务，措施得力，制度健全、人员到位，编制切实可行的如“被盗”、“妨碍公务”等突发事件的应急预案及措施。特别是要建立处理上访事件的应急方案。</w:t>
      </w:r>
    </w:p>
    <w:p w14:paraId="3D968E59">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lang w:eastAsia="zh-CN"/>
        </w:rPr>
      </w:pPr>
      <w:r>
        <w:rPr>
          <w:rFonts w:hint="eastAsia" w:ascii="宋体" w:hAnsi="宋体" w:eastAsia="宋体" w:cs="宋体"/>
          <w:i w:val="0"/>
          <w:iCs w:val="0"/>
          <w:caps w:val="0"/>
          <w:spacing w:val="15"/>
          <w:sz w:val="28"/>
          <w:szCs w:val="28"/>
          <w:shd w:val="clear" w:fill="FFFFFF"/>
          <w:lang w:val="en-US" w:eastAsia="zh-CN"/>
        </w:rPr>
        <w:t xml:space="preserve">1.1.5 </w:t>
      </w:r>
      <w:r>
        <w:rPr>
          <w:rFonts w:hint="eastAsia" w:ascii="宋体" w:hAnsi="宋体" w:eastAsia="宋体" w:cs="宋体"/>
          <w:i w:val="0"/>
          <w:iCs w:val="0"/>
          <w:caps w:val="0"/>
          <w:spacing w:val="15"/>
          <w:sz w:val="28"/>
          <w:szCs w:val="28"/>
          <w:shd w:val="clear" w:fill="FFFFFF"/>
        </w:rPr>
        <w:t>根据采购方要求对出入人员、车辆进行登记</w:t>
      </w:r>
      <w:r>
        <w:rPr>
          <w:rFonts w:hint="eastAsia" w:ascii="宋体" w:hAnsi="宋体" w:eastAsia="宋体" w:cs="宋体"/>
          <w:i w:val="0"/>
          <w:iCs w:val="0"/>
          <w:caps w:val="0"/>
          <w:spacing w:val="15"/>
          <w:sz w:val="28"/>
          <w:szCs w:val="28"/>
          <w:shd w:val="clear" w:fill="FFFFFF"/>
          <w:lang w:eastAsia="zh-CN"/>
        </w:rPr>
        <w:t>。</w:t>
      </w:r>
    </w:p>
    <w:p w14:paraId="2CF694C4">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lang w:val="en-US" w:eastAsia="zh-CN"/>
        </w:rPr>
      </w:pPr>
      <w:r>
        <w:rPr>
          <w:rFonts w:hint="eastAsia" w:ascii="宋体" w:hAnsi="宋体" w:eastAsia="宋体" w:cs="宋体"/>
          <w:i w:val="0"/>
          <w:iCs w:val="0"/>
          <w:caps w:val="0"/>
          <w:spacing w:val="15"/>
          <w:sz w:val="28"/>
          <w:szCs w:val="28"/>
          <w:shd w:val="clear" w:fill="FFFFFF"/>
          <w:lang w:val="en-US" w:eastAsia="zh-CN"/>
        </w:rPr>
        <w:t xml:space="preserve">1.1.6 </w:t>
      </w:r>
      <w:r>
        <w:rPr>
          <w:rFonts w:hint="eastAsia" w:ascii="宋体" w:hAnsi="宋体" w:eastAsia="宋体" w:cs="宋体"/>
          <w:i w:val="0"/>
          <w:iCs w:val="0"/>
          <w:caps w:val="0"/>
          <w:spacing w:val="15"/>
          <w:sz w:val="28"/>
          <w:szCs w:val="28"/>
          <w:shd w:val="clear" w:fill="FFFFFF"/>
        </w:rPr>
        <w:t>确保有序的工作环境；环境秩序良好；做好安全防范、日常巡视和夜间巡更工作，及时发现和处理各种安全和事故隐患，迅速有效处置突发事件</w:t>
      </w:r>
      <w:r>
        <w:rPr>
          <w:rFonts w:hint="eastAsia" w:ascii="宋体" w:hAnsi="宋体" w:eastAsia="宋体" w:cs="宋体"/>
          <w:i w:val="0"/>
          <w:iCs w:val="0"/>
          <w:caps w:val="0"/>
          <w:spacing w:val="15"/>
          <w:sz w:val="28"/>
          <w:szCs w:val="28"/>
          <w:shd w:val="clear" w:fill="FFFFFF"/>
          <w:lang w:eastAsia="zh-CN"/>
        </w:rPr>
        <w:t>。</w:t>
      </w:r>
    </w:p>
    <w:p w14:paraId="377C551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2"/>
          <w:kern w:val="2"/>
          <w:sz w:val="28"/>
          <w:szCs w:val="28"/>
          <w:lang w:val="en-US" w:eastAsia="zh-CN" w:bidi="ar-SA"/>
        </w:rPr>
      </w:pPr>
      <w:r>
        <w:rPr>
          <w:rFonts w:hint="eastAsia" w:ascii="仿宋" w:hAnsi="仿宋" w:eastAsia="仿宋" w:cs="仿宋"/>
          <w:b w:val="0"/>
          <w:bCs w:val="0"/>
          <w:color w:val="000000"/>
          <w:spacing w:val="-4"/>
          <w:sz w:val="28"/>
          <w:szCs w:val="28"/>
          <w:lang w:val="en-US" w:eastAsia="zh-CN"/>
        </w:rPr>
        <w:t xml:space="preserve">1.1.7 </w:t>
      </w:r>
      <w:r>
        <w:rPr>
          <w:rFonts w:hint="eastAsia" w:ascii="仿宋" w:hAnsi="仿宋" w:eastAsia="仿宋" w:cs="仿宋"/>
          <w:b w:val="0"/>
          <w:bCs w:val="0"/>
          <w:color w:val="000000"/>
          <w:spacing w:val="-2"/>
          <w:kern w:val="2"/>
          <w:sz w:val="28"/>
          <w:szCs w:val="28"/>
          <w:lang w:val="en-US" w:eastAsia="zh-CN" w:bidi="ar-SA"/>
        </w:rPr>
        <w:t>血站重大活动的安全警戒与秩序保障，须按采购方要求增加适当的安保人员；</w:t>
      </w:r>
    </w:p>
    <w:p w14:paraId="0FEF4CFA">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rPr>
      </w:pPr>
      <w:r>
        <w:rPr>
          <w:rFonts w:hint="eastAsia" w:ascii="仿宋" w:hAnsi="仿宋" w:eastAsia="仿宋" w:cs="仿宋"/>
          <w:b w:val="0"/>
          <w:bCs w:val="0"/>
          <w:color w:val="000000"/>
          <w:spacing w:val="-2"/>
          <w:kern w:val="2"/>
          <w:sz w:val="28"/>
          <w:szCs w:val="28"/>
          <w:lang w:val="en-US" w:eastAsia="zh-CN" w:bidi="ar-SA"/>
        </w:rPr>
        <w:t xml:space="preserve">1.1.8 </w:t>
      </w:r>
      <w:r>
        <w:rPr>
          <w:rFonts w:hint="eastAsia" w:ascii="宋体" w:hAnsi="宋体" w:eastAsia="宋体" w:cs="宋体"/>
          <w:i w:val="0"/>
          <w:iCs w:val="0"/>
          <w:caps w:val="0"/>
          <w:spacing w:val="15"/>
          <w:sz w:val="28"/>
          <w:szCs w:val="28"/>
          <w:shd w:val="clear" w:fill="FFFFFF"/>
        </w:rPr>
        <w:t>按照采购方要求和实际需要设置好管制物品、标识标牌，以及配置通讯、执勤等工具用品。</w:t>
      </w:r>
    </w:p>
    <w:p w14:paraId="1E79CA2D">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lang w:eastAsia="zh-CN"/>
        </w:rPr>
      </w:pPr>
      <w:r>
        <w:rPr>
          <w:rFonts w:hint="eastAsia" w:ascii="宋体" w:hAnsi="宋体" w:eastAsia="宋体" w:cs="宋体"/>
          <w:i w:val="0"/>
          <w:iCs w:val="0"/>
          <w:caps w:val="0"/>
          <w:spacing w:val="15"/>
          <w:sz w:val="28"/>
          <w:szCs w:val="28"/>
          <w:shd w:val="clear" w:fill="FFFFFF"/>
          <w:lang w:val="en-US" w:eastAsia="zh-CN"/>
        </w:rPr>
        <w:t xml:space="preserve">1.1.9 </w:t>
      </w:r>
      <w:r>
        <w:rPr>
          <w:rFonts w:hint="eastAsia" w:ascii="宋体" w:hAnsi="宋体" w:eastAsia="宋体" w:cs="宋体"/>
          <w:i w:val="0"/>
          <w:iCs w:val="0"/>
          <w:caps w:val="0"/>
          <w:spacing w:val="15"/>
          <w:sz w:val="28"/>
          <w:szCs w:val="28"/>
          <w:shd w:val="clear" w:fill="FFFFFF"/>
        </w:rPr>
        <w:t>道路通畅，路面相关设施完整，交通标识规范完好</w:t>
      </w:r>
      <w:r>
        <w:rPr>
          <w:rFonts w:hint="eastAsia" w:ascii="宋体" w:hAnsi="宋体" w:eastAsia="宋体" w:cs="宋体"/>
          <w:i w:val="0"/>
          <w:iCs w:val="0"/>
          <w:caps w:val="0"/>
          <w:spacing w:val="15"/>
          <w:sz w:val="28"/>
          <w:szCs w:val="28"/>
          <w:shd w:val="clear" w:fill="FFFFFF"/>
          <w:lang w:eastAsia="zh-CN"/>
        </w:rPr>
        <w:t>。</w:t>
      </w:r>
    </w:p>
    <w:p w14:paraId="340DBB76">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宋体" w:hAnsi="宋体" w:eastAsia="宋体" w:cs="宋体"/>
          <w:i w:val="0"/>
          <w:iCs w:val="0"/>
          <w:caps w:val="0"/>
          <w:spacing w:val="15"/>
          <w:sz w:val="28"/>
          <w:szCs w:val="28"/>
          <w:shd w:val="clear" w:fill="FFFFFF"/>
          <w:lang w:val="en-US" w:eastAsia="zh-CN"/>
        </w:rPr>
      </w:pPr>
      <w:r>
        <w:rPr>
          <w:rFonts w:hint="eastAsia" w:ascii="宋体" w:hAnsi="宋体" w:eastAsia="宋体" w:cs="宋体"/>
          <w:i w:val="0"/>
          <w:iCs w:val="0"/>
          <w:caps w:val="0"/>
          <w:spacing w:val="15"/>
          <w:sz w:val="28"/>
          <w:szCs w:val="28"/>
          <w:shd w:val="clear" w:fill="FFFFFF"/>
          <w:lang w:val="en-US" w:eastAsia="zh-CN"/>
        </w:rPr>
        <w:t xml:space="preserve">1.1.10 </w:t>
      </w:r>
      <w:r>
        <w:rPr>
          <w:rFonts w:hint="eastAsia" w:ascii="宋体" w:hAnsi="宋体" w:eastAsia="宋体" w:cs="宋体"/>
          <w:i w:val="0"/>
          <w:iCs w:val="0"/>
          <w:caps w:val="0"/>
          <w:spacing w:val="15"/>
          <w:sz w:val="28"/>
          <w:szCs w:val="28"/>
          <w:shd w:val="clear" w:fill="FFFFFF"/>
        </w:rPr>
        <w:t>停车场管理制度完善，人员配备合理，无乱停乱放和阻塞现象，车辆停放有序</w:t>
      </w:r>
      <w:r>
        <w:rPr>
          <w:rFonts w:hint="eastAsia" w:ascii="宋体" w:hAnsi="宋体" w:eastAsia="宋体" w:cs="宋体"/>
          <w:i w:val="0"/>
          <w:iCs w:val="0"/>
          <w:caps w:val="0"/>
          <w:spacing w:val="15"/>
          <w:sz w:val="28"/>
          <w:szCs w:val="28"/>
          <w:shd w:val="clear" w:fill="FFFFFF"/>
          <w:lang w:eastAsia="zh-CN"/>
        </w:rPr>
        <w:t>。</w:t>
      </w:r>
    </w:p>
    <w:p w14:paraId="414300CD">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2"/>
          <w:kern w:val="2"/>
          <w:sz w:val="28"/>
          <w:szCs w:val="28"/>
          <w:lang w:val="en-US" w:eastAsia="zh-CN" w:bidi="ar-SA"/>
        </w:rPr>
      </w:pPr>
      <w:r>
        <w:rPr>
          <w:rFonts w:hint="eastAsia" w:ascii="仿宋" w:hAnsi="仿宋" w:eastAsia="仿宋" w:cs="仿宋"/>
          <w:b w:val="0"/>
          <w:bCs w:val="0"/>
          <w:color w:val="000000"/>
          <w:spacing w:val="-4"/>
          <w:sz w:val="28"/>
          <w:szCs w:val="28"/>
          <w:lang w:val="en-US" w:eastAsia="zh-CN"/>
        </w:rPr>
        <w:t xml:space="preserve">1.1.11 </w:t>
      </w:r>
      <w:r>
        <w:rPr>
          <w:rFonts w:hint="eastAsia" w:ascii="仿宋" w:hAnsi="仿宋" w:eastAsia="仿宋" w:cs="仿宋"/>
          <w:b w:val="0"/>
          <w:bCs w:val="0"/>
          <w:color w:val="000000"/>
          <w:spacing w:val="-2"/>
          <w:kern w:val="2"/>
          <w:sz w:val="28"/>
          <w:szCs w:val="28"/>
          <w:lang w:val="en-US" w:eastAsia="zh-CN" w:bidi="ar-SA"/>
        </w:rPr>
        <w:t>血站内突发事件处置、灾害预防、火灾扑救；</w:t>
      </w:r>
    </w:p>
    <w:p w14:paraId="20DBEE3F">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color w:val="000000"/>
          <w:spacing w:val="-2"/>
          <w:kern w:val="2"/>
          <w:sz w:val="28"/>
          <w:szCs w:val="28"/>
          <w:lang w:val="en-US" w:eastAsia="zh-CN" w:bidi="ar-SA"/>
        </w:rPr>
      </w:pPr>
      <w:r>
        <w:rPr>
          <w:rFonts w:hint="eastAsia" w:ascii="仿宋" w:hAnsi="仿宋" w:eastAsia="仿宋" w:cs="仿宋"/>
          <w:b w:val="0"/>
          <w:bCs w:val="0"/>
          <w:color w:val="000000"/>
          <w:spacing w:val="-4"/>
          <w:sz w:val="28"/>
          <w:szCs w:val="28"/>
          <w:lang w:val="en-US" w:eastAsia="zh-CN"/>
        </w:rPr>
        <w:t>1.1.12</w:t>
      </w:r>
      <w:r>
        <w:rPr>
          <w:rFonts w:hint="eastAsia" w:ascii="仿宋" w:hAnsi="仿宋" w:eastAsia="仿宋" w:cs="仿宋"/>
          <w:b w:val="0"/>
          <w:bCs w:val="0"/>
          <w:color w:val="000000"/>
          <w:spacing w:val="-2"/>
          <w:kern w:val="2"/>
          <w:sz w:val="28"/>
          <w:szCs w:val="28"/>
          <w:lang w:val="en-US" w:eastAsia="zh-CN" w:bidi="ar-SA"/>
        </w:rPr>
        <w:t xml:space="preserve"> 血站公共</w:t>
      </w:r>
      <w:r>
        <w:rPr>
          <w:rFonts w:hint="eastAsia" w:ascii="仿宋" w:hAnsi="仿宋" w:eastAsia="仿宋" w:cs="仿宋"/>
          <w:color w:val="000000"/>
          <w:spacing w:val="-2"/>
          <w:kern w:val="2"/>
          <w:sz w:val="28"/>
          <w:szCs w:val="28"/>
          <w:lang w:val="en-US" w:eastAsia="zh-CN" w:bidi="ar-SA"/>
        </w:rPr>
        <w:t>部位安全隐患检查、排除及上报；</w:t>
      </w:r>
    </w:p>
    <w:p w14:paraId="7D6DB6CE">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default" w:ascii="仿宋" w:hAnsi="仿宋" w:eastAsia="仿宋" w:cs="仿宋"/>
          <w:color w:val="000000"/>
          <w:spacing w:val="-2"/>
          <w:kern w:val="2"/>
          <w:sz w:val="28"/>
          <w:szCs w:val="28"/>
          <w:lang w:val="en-US" w:eastAsia="zh-CN" w:bidi="ar-SA"/>
        </w:rPr>
      </w:pPr>
      <w:r>
        <w:rPr>
          <w:rFonts w:hint="eastAsia" w:ascii="仿宋" w:hAnsi="仿宋" w:eastAsia="仿宋" w:cs="仿宋"/>
          <w:color w:val="000000"/>
          <w:spacing w:val="-2"/>
          <w:kern w:val="2"/>
          <w:sz w:val="28"/>
          <w:szCs w:val="28"/>
          <w:lang w:val="en-US" w:eastAsia="zh-CN" w:bidi="ar-SA"/>
        </w:rPr>
        <w:t>1.1.13 报纸、信件、杂志、快递等收寄。</w:t>
      </w:r>
    </w:p>
    <w:p w14:paraId="0FB21405">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color w:val="000000"/>
          <w:spacing w:val="-2"/>
          <w:kern w:val="2"/>
          <w:sz w:val="28"/>
          <w:szCs w:val="28"/>
          <w:lang w:val="en-US" w:eastAsia="zh-CN" w:bidi="ar-SA"/>
        </w:rPr>
      </w:pPr>
      <w:r>
        <w:rPr>
          <w:rFonts w:hint="eastAsia" w:ascii="仿宋" w:hAnsi="仿宋" w:eastAsia="仿宋" w:cs="仿宋"/>
          <w:b w:val="0"/>
          <w:bCs w:val="0"/>
          <w:color w:val="000000"/>
          <w:spacing w:val="-4"/>
          <w:sz w:val="28"/>
          <w:szCs w:val="28"/>
          <w:lang w:val="en-US" w:eastAsia="zh-CN"/>
        </w:rPr>
        <w:t xml:space="preserve">1.1.14 </w:t>
      </w:r>
      <w:r>
        <w:rPr>
          <w:rFonts w:hint="eastAsia" w:ascii="仿宋" w:hAnsi="仿宋" w:eastAsia="仿宋" w:cs="仿宋"/>
          <w:b w:val="0"/>
          <w:bCs w:val="0"/>
          <w:color w:val="000000"/>
          <w:spacing w:val="-2"/>
          <w:kern w:val="2"/>
          <w:sz w:val="28"/>
          <w:szCs w:val="28"/>
          <w:lang w:val="en-US" w:eastAsia="zh-CN" w:bidi="ar-SA"/>
        </w:rPr>
        <w:t>其它属于</w:t>
      </w:r>
      <w:r>
        <w:rPr>
          <w:rFonts w:hint="eastAsia" w:ascii="仿宋" w:hAnsi="仿宋" w:eastAsia="仿宋" w:cs="仿宋"/>
          <w:color w:val="000000"/>
          <w:spacing w:val="-2"/>
          <w:kern w:val="2"/>
          <w:sz w:val="28"/>
          <w:szCs w:val="28"/>
          <w:lang w:val="en-US" w:eastAsia="zh-CN" w:bidi="ar-SA"/>
        </w:rPr>
        <w:t>秩序维护服务范围内工作以及交办的临时性任务。</w:t>
      </w:r>
    </w:p>
    <w:p w14:paraId="34E0B24B">
      <w:pPr>
        <w:pStyle w:val="3"/>
        <w:spacing w:before="210" w:line="360" w:lineRule="auto"/>
        <w:rPr>
          <w:rFonts w:hint="default"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1.2 秩序人员的管理及要求</w:t>
      </w:r>
    </w:p>
    <w:p w14:paraId="77AEFC4B">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1.2.1 秩序员上岗必须着装（着保安服，关键岗和巡逻人员配对讲机）， 坚守岗位、履行职责、文明执勤、保守机密；</w:t>
      </w:r>
    </w:p>
    <w:p w14:paraId="541A8F12">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1.2.2 秩序员要遵守并严格执行甲方制定的所有规章制度，接受甲方的监督管理，维护甲方的利益，保障甲方的财产安全；</w:t>
      </w:r>
    </w:p>
    <w:p w14:paraId="4B28B32A">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1.2.3 必须严格管理，制定内部规章及考核处罚规定，并严格检查考核，按月将检查考核情况报甲方管理人员；</w:t>
      </w:r>
    </w:p>
    <w:p w14:paraId="19BA43C5">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1.2.4 甲方有权随时对秩序员进行检查，有权对违规或不称职秩序员提出处罚、调换或辞退要求，乙方必须接受。</w:t>
      </w:r>
    </w:p>
    <w:p w14:paraId="1F6CD12E">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1.2.5 秩序员需无重大疾病，无慢性病，无残疾，体态匀称，五官端正，智力健全，听力正常，吐字清晰，无违法犯罪记录。</w:t>
      </w:r>
    </w:p>
    <w:p w14:paraId="278C0E3C">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1.2.6 秩序员在工作中要着装整齐，仪表端正，态度和善，语气亲切，言辞得体，耐心解答问话，微笑迎送。</w:t>
      </w:r>
    </w:p>
    <w:p w14:paraId="18DDBDD2">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1.2.7 秩序员要时刻遵守血站的有关规定，严格作息时间，提前 10 分钟到岗，准时上岗。</w:t>
      </w:r>
    </w:p>
    <w:p w14:paraId="07A8EB3B">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1.2.8 秩序员在岗期间严禁饮酒、睡岗、脱岗、看书、看报、听广播、打扑克、上网聊天玩游戏。</w:t>
      </w:r>
    </w:p>
    <w:p w14:paraId="53F8DA4A">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1.2.9 秩序员要有消防安全基本素质和排除安全隐患的能力，熟悉了解血站大楼消防设施的重点部位和熟练使用消防器材。</w:t>
      </w:r>
    </w:p>
    <w:p w14:paraId="23D5E430">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1.2.10 秩序员禁止做与本职工作无关的事宜，不准向外人透露血站的有关事项。遵守血站规章制度和保密规定，维护血站的合法权益和形象，不得借血站名义做虚假和不实宣传，保守血站秘密。</w:t>
      </w:r>
    </w:p>
    <w:p w14:paraId="54CC6840">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1.2.11 秩序员要熟悉血站工作的特点，注重个人形象，保持环境卫生，以高度的责任感完成各自工作。</w:t>
      </w:r>
    </w:p>
    <w:p w14:paraId="1733FD8B">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1.2.12 秩序员对血站院内重点部位要定时巡视检查，发现可疑人员和安全隐患，自觉维护血站秩序，确保血站院内无火灾事故和治安案件发生。</w:t>
      </w:r>
    </w:p>
    <w:p w14:paraId="19BADA1E">
      <w:pPr>
        <w:pStyle w:val="3"/>
        <w:spacing w:before="210" w:line="360" w:lineRule="auto"/>
        <w:rPr>
          <w:rFonts w:hint="eastAsia"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1.3 秩序员岗位职责及要求</w:t>
      </w:r>
    </w:p>
    <w:p w14:paraId="5DE82454">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default" w:ascii="仿宋" w:hAnsi="仿宋" w:eastAsia="仿宋" w:cs="仿宋"/>
          <w:b w:val="0"/>
          <w:bCs w:val="0"/>
          <w:color w:val="000000"/>
          <w:spacing w:val="-4"/>
          <w:sz w:val="28"/>
          <w:szCs w:val="28"/>
          <w:lang w:val="en-US" w:eastAsia="zh-CN"/>
        </w:rPr>
      </w:pPr>
      <w:r>
        <w:rPr>
          <w:rFonts w:hint="default" w:ascii="仿宋" w:hAnsi="仿宋" w:eastAsia="仿宋" w:cs="仿宋"/>
          <w:b w:val="0"/>
          <w:bCs w:val="0"/>
          <w:color w:val="000000"/>
          <w:spacing w:val="-4"/>
          <w:sz w:val="28"/>
          <w:szCs w:val="28"/>
          <w:lang w:val="en-US" w:eastAsia="zh-CN"/>
        </w:rPr>
        <w:t>秩序人员要忠于职守，尽职尽责，不得利用工作进行违纪、违法犯罪活动；坚持文明执勤，严禁打人骂人，严禁侵犯他人人身权利;不做有损血站形象的行为，熟悉消防、监控和门禁等系统的操作与应用</w:t>
      </w:r>
      <w:r>
        <w:rPr>
          <w:rFonts w:hint="eastAsia" w:ascii="仿宋" w:hAnsi="仿宋" w:eastAsia="仿宋" w:cs="仿宋"/>
          <w:b w:val="0"/>
          <w:bCs w:val="0"/>
          <w:color w:val="000000"/>
          <w:spacing w:val="-4"/>
          <w:sz w:val="28"/>
          <w:szCs w:val="28"/>
          <w:lang w:val="en-US" w:eastAsia="zh-CN"/>
        </w:rPr>
        <w:t>及防暴</w:t>
      </w:r>
      <w:bookmarkStart w:id="0" w:name="_GoBack"/>
      <w:bookmarkEnd w:id="0"/>
      <w:r>
        <w:rPr>
          <w:rFonts w:hint="eastAsia" w:ascii="仿宋" w:hAnsi="仿宋" w:eastAsia="仿宋" w:cs="仿宋"/>
          <w:b w:val="0"/>
          <w:bCs w:val="0"/>
          <w:color w:val="000000"/>
          <w:spacing w:val="-4"/>
          <w:sz w:val="28"/>
          <w:szCs w:val="28"/>
          <w:lang w:val="en-US" w:eastAsia="zh-CN"/>
        </w:rPr>
        <w:t>工具的使用</w:t>
      </w:r>
      <w:r>
        <w:rPr>
          <w:rFonts w:hint="default" w:ascii="仿宋" w:hAnsi="仿宋" w:eastAsia="仿宋" w:cs="仿宋"/>
          <w:b w:val="0"/>
          <w:bCs w:val="0"/>
          <w:color w:val="000000"/>
          <w:spacing w:val="-4"/>
          <w:sz w:val="28"/>
          <w:szCs w:val="28"/>
          <w:lang w:val="en-US" w:eastAsia="zh-CN"/>
        </w:rPr>
        <w:t>，熟练掌握消防器材的使用。</w:t>
      </w:r>
    </w:p>
    <w:p w14:paraId="13528CD9">
      <w:pPr>
        <w:pStyle w:val="3"/>
        <w:numPr>
          <w:ilvl w:val="0"/>
          <w:numId w:val="1"/>
        </w:numPr>
        <w:spacing w:before="210" w:line="360" w:lineRule="auto"/>
        <w:rPr>
          <w:rFonts w:hint="eastAsia"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保洁服务</w:t>
      </w:r>
    </w:p>
    <w:p w14:paraId="1DB82C2B">
      <w:pPr>
        <w:pStyle w:val="3"/>
        <w:numPr>
          <w:ilvl w:val="-1"/>
          <w:numId w:val="0"/>
        </w:numPr>
        <w:spacing w:before="210" w:line="360" w:lineRule="auto"/>
        <w:rPr>
          <w:rFonts w:hint="default"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 xml:space="preserve">    结合血站实际情况建立环境卫生管理制度并落实。</w:t>
      </w:r>
    </w:p>
    <w:p w14:paraId="2EBE96A1">
      <w:pPr>
        <w:pStyle w:val="3"/>
        <w:numPr>
          <w:ilvl w:val="0"/>
          <w:numId w:val="0"/>
        </w:numPr>
        <w:spacing w:before="210" w:line="360" w:lineRule="auto"/>
        <w:rPr>
          <w:rFonts w:hint="eastAsia"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2.1 公共环境保洁范围</w:t>
      </w:r>
    </w:p>
    <w:p w14:paraId="7E287DC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2.1.1 血站新业务大楼1至6楼（包含过道、公共区域、平台、洗手间、消防设施、各类指示牌及宣传栏等等），室外场地及门口门前三包、地下室设备间、停车场、屋面、外墙等。</w:t>
      </w:r>
    </w:p>
    <w:p w14:paraId="131C267D">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2.1.2 原血站业务楼1至6楼（包含过道、公共区域窗户、洗手间、各类指示牌及宣传栏等等），室外场地及门口门前三包，院内、外墙、屋面卫生等。</w:t>
      </w:r>
    </w:p>
    <w:p w14:paraId="23C8E1A6">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2.1.3 建筑物外观、各种指示标识完好、清洁，工作记录完整。确保房屋、门窗的完好和正常使用。</w:t>
      </w:r>
    </w:p>
    <w:p w14:paraId="32C0F0DE">
      <w:pPr>
        <w:pStyle w:val="3"/>
        <w:numPr>
          <w:ilvl w:val="0"/>
          <w:numId w:val="0"/>
        </w:numPr>
        <w:spacing w:before="210" w:line="360" w:lineRule="auto"/>
        <w:rPr>
          <w:rFonts w:hint="default"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2.2 各区域保洁具体范围</w:t>
      </w:r>
    </w:p>
    <w:p w14:paraId="0325B5EE">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2.2.1  公共区域地面、墙面、开关盒及接线盒、玻璃、休息椅、刷卡机、饮水机、宣传栏、消防栓等公共设施等；</w:t>
      </w:r>
    </w:p>
    <w:p w14:paraId="42081D5F">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2.2.2 室外、外墙、金属护栏、把手等定期擦拭保养；</w:t>
      </w:r>
    </w:p>
    <w:p w14:paraId="730A2120">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2.2.3 照明、牌匾、宣传栏等定期擦拭保养；</w:t>
      </w:r>
    </w:p>
    <w:p w14:paraId="0FA79E59">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2.2.4 大理石、花岗岩定期打蜡养护；地毯定期吸尘清洗。</w:t>
      </w:r>
    </w:p>
    <w:p w14:paraId="6FAB3252">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2.2.5 停车场地面、管道、各类消防设施设备表面清洁；</w:t>
      </w:r>
    </w:p>
    <w:p w14:paraId="6ECFBAB4">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2.2.6 建筑外墙、屋面、室外场地、道路、大门口保持清洁无纸屑、树叶、烟头等杂物；</w:t>
      </w:r>
    </w:p>
    <w:p w14:paraId="58CE070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2.2.7 屋面、地下室、平台等排水管管道口清洁，保持无杂物堵塞排水口</w:t>
      </w:r>
    </w:p>
    <w:p w14:paraId="6D669C39">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default"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2.2.8 室内保洁责任区域的办公室、会议室、接待室、各功能室、楼梯、走道、大唐、室内公共区域及卫生间等区域做到顶面、墙面、地面等清洁无尘印、无蜘蛛网、无积水、室内设施表面、门窗等无灰尘；</w:t>
      </w:r>
    </w:p>
    <w:p w14:paraId="10F93DFC">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default"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2.2.9 玻璃门、窗、玻璃隔断保持无污迹、灰尘；</w:t>
      </w:r>
    </w:p>
    <w:p w14:paraId="2CF2445E">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default"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2.2.10 楼层卫生间的用纸和洗手液摆放；卫生间无明显异味，随时保持边吃的清洁卫生；边吃、水池、下水道畅通；</w:t>
      </w:r>
    </w:p>
    <w:p w14:paraId="18477681">
      <w:pPr>
        <w:pStyle w:val="3"/>
        <w:numPr>
          <w:ilvl w:val="0"/>
          <w:numId w:val="0"/>
        </w:numPr>
        <w:spacing w:before="210" w:line="360" w:lineRule="auto"/>
        <w:rPr>
          <w:rFonts w:hint="eastAsia"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2.3 保洁日常管理</w:t>
      </w:r>
    </w:p>
    <w:p w14:paraId="58165A56">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2.3.1 以日常保洁、保养为主要管理内容。</w:t>
      </w:r>
    </w:p>
    <w:p w14:paraId="35024A8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2.3.2 按照管理内容编制检查表，并配有专人每日进行巡视检查，发现问题立即整改。</w:t>
      </w:r>
    </w:p>
    <w:p w14:paraId="706E7507">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2.2.3 血站对各工作岗位的服务质量由办公室及各科室负责人现场监管，对工作质量、服务态度进行管理；办公室不定期实施督查、考核，发现问题，立即口头或书面通知整改，投标方要对整改通知提出的内容立即进行整改。</w:t>
      </w:r>
    </w:p>
    <w:p w14:paraId="4B752340">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2.3.4 负责对能源如水、电等的管理，随手关灯，特别是对卫生间的水电要加强管理， 杜绝浪费现象发生；保洁员在工作中对各自责任区域的公共设施及设备，若发现问题应立即上报所在科室的科主任或工作人员，由科室上报有关部门进行维修。</w:t>
      </w:r>
    </w:p>
    <w:p w14:paraId="113BB37D">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2.3.5 新上岗工作人员培训应达到规范要求后再上岗工作。对在职人员每季度培训一次</w:t>
      </w:r>
    </w:p>
    <w:p w14:paraId="318F836A">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2.3.6 有重大接待任务或上级检查任务、发生突发事件如火灾、台风及突发公共卫生事件及医疗纠纷等，中标方必须全力配合血站的工作需要。接到通知后应立即做好工作计划安排，并严格按照相关应急预案实施。</w:t>
      </w:r>
    </w:p>
    <w:p w14:paraId="7D2CC9DD">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2.3.7 各类垃圾运送到血站指定地点停放，该区域物品应摆放整洁规范，无多余杂物堆积， 垃圾箱外表干净，无积垢、无臭味。</w:t>
      </w:r>
    </w:p>
    <w:p w14:paraId="78DF9497">
      <w:pPr>
        <w:pStyle w:val="3"/>
        <w:numPr>
          <w:ilvl w:val="0"/>
          <w:numId w:val="0"/>
        </w:numPr>
        <w:spacing w:before="210" w:line="360" w:lineRule="auto"/>
        <w:rPr>
          <w:rFonts w:hint="eastAsia" w:ascii="仿宋" w:hAnsi="仿宋" w:eastAsia="仿宋" w:cs="仿宋"/>
          <w:b/>
          <w:bCs/>
          <w:color w:val="000000"/>
          <w:spacing w:val="-4"/>
          <w:sz w:val="28"/>
          <w:szCs w:val="28"/>
          <w:lang w:val="en-US" w:eastAsia="zh-CN"/>
        </w:rPr>
      </w:pPr>
      <w:r>
        <w:rPr>
          <w:rFonts w:hint="eastAsia" w:ascii="仿宋" w:hAnsi="仿宋" w:eastAsia="仿宋" w:cs="仿宋"/>
          <w:b/>
          <w:bCs/>
          <w:color w:val="000000"/>
          <w:spacing w:val="-4"/>
          <w:sz w:val="28"/>
          <w:szCs w:val="28"/>
          <w:lang w:val="en-US" w:eastAsia="zh-CN"/>
        </w:rPr>
        <w:t>2.4 环境保洁服务要求</w:t>
      </w:r>
    </w:p>
    <w:p w14:paraId="13EC0D1F">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 公共环境保洁、业务科室及办公区保洁、垃圾处理、终末消毒</w:t>
      </w:r>
    </w:p>
    <w:p w14:paraId="3E8A97B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2.4.2 户外地面以干式清扫为主，户内地面以清水湿式拖抹为主；当地面被血液、呕吐物、分泌物、排泄物污染时用消毒液清洁消毒。</w:t>
      </w:r>
    </w:p>
    <w:p w14:paraId="697A7CC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2.4.3 清洁工具物料如扫帚、垃圾袋、地拖及地拖桶、手套等按使用场所不同，进行分类、编号、做好标识，严禁工具混用，以免造成交叉感染。对地毯地面以吸尘器吸尘打扫为主。</w:t>
      </w:r>
    </w:p>
    <w:p w14:paraId="316560C8">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2.4.4 毛巾清抹严禁一巾多用。</w:t>
      </w:r>
    </w:p>
    <w:p w14:paraId="750FAA6F">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2.4.5 进入各科室、办公室、会议室的保洁员不得翻阅桌面材料、文件。进入重要敏感部门如财务办公室、报销处、档案室等搞卫生时，应获得本科室工作人员同意。</w:t>
      </w:r>
    </w:p>
    <w:p w14:paraId="1E825D80">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2.4.6 门前三包位置应保证在下班前前完成清扫工作。</w:t>
      </w:r>
    </w:p>
    <w:p w14:paraId="23FA0166">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2.4.7 洗手盆、洗物盆、卫生间每天清洗不少于 2 次，并随脏随洗，保持干净无异味。</w:t>
      </w:r>
    </w:p>
    <w:p w14:paraId="49671293">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2.4.8 医疗废物的运送、暂存管理服务：严格执行《血站医疗废物管理规定》及其他医疗废物管理的有关规定。</w:t>
      </w:r>
    </w:p>
    <w:p w14:paraId="2F514410">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2.4.9 基本设施的维修报告：发现基本设施（如排气扇、水龙头、电源开关、灯、地面、墙、门、窗等等）的故障或破损等问题，立即向负责科室报修。检查冷暖气开放时房间门窗是否关闭。</w:t>
      </w:r>
    </w:p>
    <w:p w14:paraId="13233388">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2.4.10 中标人应充分了解并研究血站的运行情况和使用的建筑材料的特性，根据不同性质的建材而选用不同的清洁用品和清洁工具。</w:t>
      </w:r>
    </w:p>
    <w:p w14:paraId="2B474D6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2.4.11 中标人必须服从血站的管理，遵守血站的规章制度。对承包区域的保洁质量负全部责任，有义务协助上级主管部门做好各项检查。</w:t>
      </w:r>
    </w:p>
    <w:p w14:paraId="4D8E604A">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2.4.12 如遇火警、水管爆裂、台风袭击、迎接参观检查、突击检查、中标人要配合血站搞好特殊清洁工作。</w:t>
      </w:r>
    </w:p>
    <w:p w14:paraId="3602E7A9">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2.4.13 中标人应根据血站的运行情况安排适当的工作人员和制定适宜工作时间。</w:t>
      </w:r>
    </w:p>
    <w:p w14:paraId="5CE22683">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2.4.14 中标人工作人员必须服从血站安排，做到随叫随到。</w:t>
      </w:r>
    </w:p>
    <w:p w14:paraId="3349E2AD">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2.4.15 中标人工作人员在为血站做保洁运送服务过程中，如果损坏任何仪器或物品，均应按价赔偿。</w:t>
      </w:r>
    </w:p>
    <w:p w14:paraId="6E11A7F1">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2.4.16 重要事件立即向有关部门负责人报告，并汇报血站主管部门或本部门主管。</w:t>
      </w:r>
    </w:p>
    <w:p w14:paraId="7814F216">
      <w:pPr>
        <w:pStyle w:val="4"/>
        <w:keepNext w:val="0"/>
        <w:keepLines w:val="0"/>
        <w:pageBreakBefore w:val="0"/>
        <w:widowControl w:val="0"/>
        <w:kinsoku/>
        <w:wordWrap/>
        <w:overflowPunct/>
        <w:topLinePunct w:val="0"/>
        <w:autoSpaceDE/>
        <w:autoSpaceDN/>
        <w:bidi w:val="0"/>
        <w:adjustRightInd/>
        <w:snapToGrid/>
        <w:spacing w:before="158" w:line="360" w:lineRule="auto"/>
        <w:ind w:left="125" w:right="96" w:firstLine="482"/>
        <w:textAlignment w:val="auto"/>
        <w:rPr>
          <w:rFonts w:hint="eastAsia" w:ascii="仿宋" w:hAnsi="仿宋" w:eastAsia="仿宋" w:cs="仿宋"/>
          <w:b w:val="0"/>
          <w:bCs w:val="0"/>
          <w:color w:val="000000"/>
          <w:spacing w:val="-4"/>
          <w:sz w:val="28"/>
          <w:szCs w:val="28"/>
          <w:lang w:val="en-US" w:eastAsia="zh-CN"/>
        </w:rPr>
      </w:pPr>
      <w:r>
        <w:rPr>
          <w:rFonts w:hint="eastAsia" w:ascii="仿宋" w:hAnsi="仿宋" w:eastAsia="仿宋" w:cs="仿宋"/>
          <w:b w:val="0"/>
          <w:bCs w:val="0"/>
          <w:color w:val="000000"/>
          <w:spacing w:val="-4"/>
          <w:sz w:val="28"/>
          <w:szCs w:val="28"/>
          <w:lang w:val="en-US" w:eastAsia="zh-CN"/>
        </w:rPr>
        <w:t>2.4.17 发生重大突发应急事件，中标方需无条件服从血站的统一调配。</w:t>
      </w:r>
    </w:p>
    <w:tbl>
      <w:tblPr>
        <w:tblStyle w:val="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705"/>
        <w:gridCol w:w="1575"/>
        <w:gridCol w:w="3140"/>
      </w:tblGrid>
      <w:tr w14:paraId="622F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88" w:type="dxa"/>
            <w:tcBorders>
              <w:top w:val="single" w:color="auto" w:sz="12" w:space="0"/>
              <w:left w:val="single" w:color="auto" w:sz="12" w:space="0"/>
              <w:bottom w:val="single" w:color="auto" w:sz="4" w:space="0"/>
              <w:right w:val="single" w:color="auto" w:sz="4" w:space="0"/>
            </w:tcBorders>
            <w:vAlign w:val="center"/>
          </w:tcPr>
          <w:p w14:paraId="61B51B8A">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序号</w:t>
            </w:r>
          </w:p>
        </w:tc>
        <w:tc>
          <w:tcPr>
            <w:tcW w:w="3705" w:type="dxa"/>
            <w:tcBorders>
              <w:top w:val="single" w:color="auto" w:sz="12" w:space="0"/>
              <w:left w:val="single" w:color="auto" w:sz="4" w:space="0"/>
              <w:bottom w:val="single" w:color="auto" w:sz="4" w:space="0"/>
              <w:right w:val="single" w:color="auto" w:sz="4" w:space="0"/>
            </w:tcBorders>
            <w:vAlign w:val="center"/>
          </w:tcPr>
          <w:p w14:paraId="26E8E737">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保洁服务内容</w:t>
            </w:r>
          </w:p>
        </w:tc>
        <w:tc>
          <w:tcPr>
            <w:tcW w:w="1575" w:type="dxa"/>
            <w:tcBorders>
              <w:top w:val="single" w:color="auto" w:sz="12" w:space="0"/>
              <w:left w:val="single" w:color="auto" w:sz="4" w:space="0"/>
              <w:bottom w:val="single" w:color="auto" w:sz="4" w:space="0"/>
              <w:right w:val="single" w:color="auto" w:sz="4" w:space="0"/>
            </w:tcBorders>
            <w:vAlign w:val="center"/>
          </w:tcPr>
          <w:p w14:paraId="2C35B05F">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频次</w:t>
            </w:r>
          </w:p>
        </w:tc>
        <w:tc>
          <w:tcPr>
            <w:tcW w:w="3140" w:type="dxa"/>
            <w:tcBorders>
              <w:top w:val="single" w:color="auto" w:sz="12" w:space="0"/>
              <w:left w:val="single" w:color="auto" w:sz="4" w:space="0"/>
              <w:bottom w:val="single" w:color="auto" w:sz="4" w:space="0"/>
              <w:right w:val="single" w:color="auto" w:sz="12" w:space="0"/>
            </w:tcBorders>
            <w:vAlign w:val="center"/>
          </w:tcPr>
          <w:p w14:paraId="691403E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作业标准</w:t>
            </w:r>
          </w:p>
        </w:tc>
      </w:tr>
      <w:tr w14:paraId="5C0A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29D16FCE">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w:t>
            </w:r>
          </w:p>
        </w:tc>
        <w:tc>
          <w:tcPr>
            <w:tcW w:w="3705" w:type="dxa"/>
            <w:tcBorders>
              <w:top w:val="single" w:color="auto" w:sz="4" w:space="0"/>
              <w:left w:val="single" w:color="auto" w:sz="4" w:space="0"/>
              <w:bottom w:val="single" w:color="auto" w:sz="4" w:space="0"/>
              <w:right w:val="single" w:color="auto" w:sz="4" w:space="0"/>
            </w:tcBorders>
            <w:vAlign w:val="center"/>
          </w:tcPr>
          <w:p w14:paraId="4AACDC26">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收集大厅、走廊、走梯等公共区域垃圾、更换垃圾袋</w:t>
            </w:r>
          </w:p>
        </w:tc>
        <w:tc>
          <w:tcPr>
            <w:tcW w:w="1575" w:type="dxa"/>
            <w:tcBorders>
              <w:top w:val="single" w:color="auto" w:sz="4" w:space="0"/>
              <w:left w:val="single" w:color="auto" w:sz="4" w:space="0"/>
              <w:bottom w:val="single" w:color="auto" w:sz="4" w:space="0"/>
              <w:right w:val="single" w:color="auto" w:sz="4" w:space="0"/>
            </w:tcBorders>
            <w:vAlign w:val="center"/>
          </w:tcPr>
          <w:p w14:paraId="5C0F72B3">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每日2次</w:t>
            </w:r>
          </w:p>
        </w:tc>
        <w:tc>
          <w:tcPr>
            <w:tcW w:w="3140" w:type="dxa"/>
            <w:vMerge w:val="restart"/>
            <w:tcBorders>
              <w:top w:val="single" w:color="auto" w:sz="4" w:space="0"/>
              <w:left w:val="single" w:color="auto" w:sz="4" w:space="0"/>
              <w:right w:val="single" w:color="auto" w:sz="12" w:space="0"/>
            </w:tcBorders>
            <w:vAlign w:val="center"/>
          </w:tcPr>
          <w:p w14:paraId="7D2492A5">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1.确保8：00前清洁干净</w:t>
            </w:r>
          </w:p>
          <w:p w14:paraId="14A556E8">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2.垃圾桶内外干净，垃圾桶袋不超过3/4满</w:t>
            </w:r>
          </w:p>
          <w:p w14:paraId="7282FDAB">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3.无污迹、无废物、无积尘</w:t>
            </w:r>
          </w:p>
        </w:tc>
      </w:tr>
      <w:tr w14:paraId="02CD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715FEBA7">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2</w:t>
            </w:r>
          </w:p>
        </w:tc>
        <w:tc>
          <w:tcPr>
            <w:tcW w:w="3705" w:type="dxa"/>
            <w:tcBorders>
              <w:top w:val="single" w:color="auto" w:sz="4" w:space="0"/>
              <w:left w:val="single" w:color="auto" w:sz="4" w:space="0"/>
              <w:bottom w:val="single" w:color="auto" w:sz="4" w:space="0"/>
              <w:right w:val="single" w:color="auto" w:sz="4" w:space="0"/>
            </w:tcBorders>
            <w:vAlign w:val="center"/>
          </w:tcPr>
          <w:p w14:paraId="78824037">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公共区域内地面牵尘（无扬尘干扫）</w:t>
            </w:r>
          </w:p>
        </w:tc>
        <w:tc>
          <w:tcPr>
            <w:tcW w:w="1575" w:type="dxa"/>
            <w:tcBorders>
              <w:top w:val="single" w:color="auto" w:sz="4" w:space="0"/>
              <w:left w:val="single" w:color="auto" w:sz="4" w:space="0"/>
              <w:bottom w:val="single" w:color="auto" w:sz="4" w:space="0"/>
              <w:right w:val="single" w:color="auto" w:sz="4" w:space="0"/>
            </w:tcBorders>
            <w:vAlign w:val="center"/>
          </w:tcPr>
          <w:p w14:paraId="022B7B5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每日2次</w:t>
            </w:r>
          </w:p>
        </w:tc>
        <w:tc>
          <w:tcPr>
            <w:tcW w:w="3140" w:type="dxa"/>
            <w:vMerge w:val="continue"/>
            <w:tcBorders>
              <w:left w:val="single" w:color="auto" w:sz="4" w:space="0"/>
              <w:right w:val="single" w:color="auto" w:sz="12" w:space="0"/>
            </w:tcBorders>
            <w:vAlign w:val="center"/>
          </w:tcPr>
          <w:p w14:paraId="452D0796">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p>
        </w:tc>
      </w:tr>
      <w:tr w14:paraId="11CB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720ACECA">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3</w:t>
            </w:r>
          </w:p>
        </w:tc>
        <w:tc>
          <w:tcPr>
            <w:tcW w:w="3705" w:type="dxa"/>
            <w:tcBorders>
              <w:top w:val="single" w:color="auto" w:sz="4" w:space="0"/>
              <w:left w:val="single" w:color="auto" w:sz="4" w:space="0"/>
              <w:bottom w:val="single" w:color="auto" w:sz="4" w:space="0"/>
              <w:right w:val="single" w:color="auto" w:sz="4" w:space="0"/>
            </w:tcBorders>
            <w:vAlign w:val="center"/>
          </w:tcPr>
          <w:p w14:paraId="58137387">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公共区域内地面湿拖（公共区域定期机洗）</w:t>
            </w:r>
          </w:p>
        </w:tc>
        <w:tc>
          <w:tcPr>
            <w:tcW w:w="1575" w:type="dxa"/>
            <w:tcBorders>
              <w:top w:val="single" w:color="auto" w:sz="4" w:space="0"/>
              <w:left w:val="single" w:color="auto" w:sz="4" w:space="0"/>
              <w:bottom w:val="single" w:color="auto" w:sz="4" w:space="0"/>
              <w:right w:val="single" w:color="auto" w:sz="4" w:space="0"/>
            </w:tcBorders>
            <w:vAlign w:val="center"/>
          </w:tcPr>
          <w:p w14:paraId="17C69E3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每日2次</w:t>
            </w:r>
          </w:p>
        </w:tc>
        <w:tc>
          <w:tcPr>
            <w:tcW w:w="3140" w:type="dxa"/>
            <w:vMerge w:val="continue"/>
            <w:tcBorders>
              <w:left w:val="single" w:color="auto" w:sz="4" w:space="0"/>
              <w:bottom w:val="single" w:color="auto" w:sz="4" w:space="0"/>
              <w:right w:val="single" w:color="auto" w:sz="12" w:space="0"/>
            </w:tcBorders>
            <w:vAlign w:val="center"/>
          </w:tcPr>
          <w:p w14:paraId="5B443583">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p>
        </w:tc>
      </w:tr>
      <w:tr w14:paraId="2E95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72E465C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4</w:t>
            </w:r>
          </w:p>
        </w:tc>
        <w:tc>
          <w:tcPr>
            <w:tcW w:w="3705" w:type="dxa"/>
            <w:tcBorders>
              <w:top w:val="single" w:color="auto" w:sz="4" w:space="0"/>
              <w:left w:val="single" w:color="auto" w:sz="4" w:space="0"/>
              <w:bottom w:val="single" w:color="auto" w:sz="4" w:space="0"/>
              <w:right w:val="single" w:color="auto" w:sz="4" w:space="0"/>
            </w:tcBorders>
            <w:vAlign w:val="center"/>
          </w:tcPr>
          <w:p w14:paraId="7B1CA8B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卫生间（含水龙头、洗手池）</w:t>
            </w:r>
          </w:p>
        </w:tc>
        <w:tc>
          <w:tcPr>
            <w:tcW w:w="1575" w:type="dxa"/>
            <w:tcBorders>
              <w:top w:val="single" w:color="auto" w:sz="4" w:space="0"/>
              <w:left w:val="single" w:color="auto" w:sz="4" w:space="0"/>
              <w:bottom w:val="single" w:color="auto" w:sz="4" w:space="0"/>
              <w:right w:val="single" w:color="auto" w:sz="4" w:space="0"/>
            </w:tcBorders>
            <w:vAlign w:val="center"/>
          </w:tcPr>
          <w:p w14:paraId="541A3ECF">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每日2次</w:t>
            </w:r>
          </w:p>
        </w:tc>
        <w:tc>
          <w:tcPr>
            <w:tcW w:w="3140" w:type="dxa"/>
            <w:tcBorders>
              <w:top w:val="single" w:color="auto" w:sz="4" w:space="0"/>
              <w:left w:val="single" w:color="auto" w:sz="4" w:space="0"/>
              <w:bottom w:val="single" w:color="auto" w:sz="4" w:space="0"/>
              <w:right w:val="single" w:color="auto" w:sz="12" w:space="0"/>
            </w:tcBorders>
            <w:vAlign w:val="top"/>
          </w:tcPr>
          <w:p w14:paraId="2A150CE9">
            <w:pPr>
              <w:pStyle w:val="15"/>
              <w:spacing w:before="57" w:line="360" w:lineRule="auto"/>
              <w:ind w:left="89" w:leftChars="0" w:right="70" w:rightChars="0"/>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每小时巡视一次，确保无污迹、无废物</w:t>
            </w:r>
          </w:p>
        </w:tc>
      </w:tr>
      <w:tr w14:paraId="6DC3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51502C7D">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5</w:t>
            </w:r>
          </w:p>
        </w:tc>
        <w:tc>
          <w:tcPr>
            <w:tcW w:w="3705" w:type="dxa"/>
            <w:tcBorders>
              <w:top w:val="single" w:color="auto" w:sz="4" w:space="0"/>
              <w:left w:val="single" w:color="auto" w:sz="4" w:space="0"/>
              <w:bottom w:val="single" w:color="auto" w:sz="4" w:space="0"/>
              <w:right w:val="single" w:color="auto" w:sz="4" w:space="0"/>
            </w:tcBorders>
            <w:vAlign w:val="center"/>
          </w:tcPr>
          <w:p w14:paraId="26D64A63">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大厅、走廊、走梯、公共卫生间等公共区域巡视保洁</w:t>
            </w:r>
          </w:p>
        </w:tc>
        <w:tc>
          <w:tcPr>
            <w:tcW w:w="1575" w:type="dxa"/>
            <w:tcBorders>
              <w:top w:val="single" w:color="auto" w:sz="4" w:space="0"/>
              <w:left w:val="single" w:color="auto" w:sz="4" w:space="0"/>
              <w:bottom w:val="single" w:color="auto" w:sz="4" w:space="0"/>
              <w:right w:val="single" w:color="auto" w:sz="4" w:space="0"/>
            </w:tcBorders>
            <w:vAlign w:val="top"/>
          </w:tcPr>
          <w:p w14:paraId="2928BB3C">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每小时巡视保洁 1 次</w:t>
            </w:r>
          </w:p>
        </w:tc>
        <w:tc>
          <w:tcPr>
            <w:tcW w:w="3140" w:type="dxa"/>
            <w:tcBorders>
              <w:top w:val="single" w:color="auto" w:sz="4" w:space="0"/>
              <w:left w:val="single" w:color="auto" w:sz="4" w:space="0"/>
              <w:bottom w:val="single" w:color="auto" w:sz="4" w:space="0"/>
              <w:right w:val="single" w:color="auto" w:sz="12" w:space="0"/>
            </w:tcBorders>
            <w:vAlign w:val="top"/>
          </w:tcPr>
          <w:p w14:paraId="3F3E8128">
            <w:pPr>
              <w:pStyle w:val="15"/>
              <w:spacing w:before="79" w:line="360" w:lineRule="auto"/>
              <w:ind w:left="111" w:leftChars="0" w:right="56" w:rightChars="0"/>
              <w:jc w:val="both"/>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确 保 公 共 区 域 无 污渍、无烟头、无废物；</w:t>
            </w:r>
          </w:p>
        </w:tc>
      </w:tr>
      <w:tr w14:paraId="05E2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14F6079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6</w:t>
            </w:r>
          </w:p>
        </w:tc>
        <w:tc>
          <w:tcPr>
            <w:tcW w:w="3705" w:type="dxa"/>
            <w:tcBorders>
              <w:top w:val="single" w:color="auto" w:sz="4" w:space="0"/>
              <w:left w:val="single" w:color="auto" w:sz="4" w:space="0"/>
              <w:bottom w:val="single" w:color="auto" w:sz="4" w:space="0"/>
              <w:right w:val="single" w:color="auto" w:sz="4" w:space="0"/>
            </w:tcBorders>
            <w:vAlign w:val="center"/>
          </w:tcPr>
          <w:p w14:paraId="787E834E">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公共区域内家具（桌椅、橱柜等）、服务台面、室内隔断等低处物表擦拭</w:t>
            </w:r>
          </w:p>
        </w:tc>
        <w:tc>
          <w:tcPr>
            <w:tcW w:w="1575" w:type="dxa"/>
            <w:tcBorders>
              <w:top w:val="single" w:color="auto" w:sz="4" w:space="0"/>
              <w:left w:val="single" w:color="auto" w:sz="4" w:space="0"/>
              <w:bottom w:val="single" w:color="auto" w:sz="4" w:space="0"/>
              <w:right w:val="single" w:color="auto" w:sz="4" w:space="0"/>
            </w:tcBorders>
            <w:vAlign w:val="center"/>
          </w:tcPr>
          <w:p w14:paraId="74111427">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每日1次</w:t>
            </w:r>
          </w:p>
        </w:tc>
        <w:tc>
          <w:tcPr>
            <w:tcW w:w="3140" w:type="dxa"/>
            <w:tcBorders>
              <w:top w:val="single" w:color="auto" w:sz="4" w:space="0"/>
              <w:left w:val="single" w:color="auto" w:sz="4" w:space="0"/>
              <w:bottom w:val="single" w:color="auto" w:sz="4" w:space="0"/>
              <w:right w:val="single" w:color="auto" w:sz="12" w:space="0"/>
            </w:tcBorders>
            <w:vAlign w:val="center"/>
          </w:tcPr>
          <w:p w14:paraId="59C872E9">
            <w:pPr>
              <w:pStyle w:val="15"/>
              <w:spacing w:before="1" w:line="360" w:lineRule="auto"/>
              <w:ind w:right="602" w:righ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目视无积灰、无污渍</w:t>
            </w:r>
          </w:p>
        </w:tc>
      </w:tr>
      <w:tr w14:paraId="61F5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0B391DD0">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7</w:t>
            </w:r>
          </w:p>
        </w:tc>
        <w:tc>
          <w:tcPr>
            <w:tcW w:w="3705" w:type="dxa"/>
            <w:tcBorders>
              <w:top w:val="single" w:color="auto" w:sz="4" w:space="0"/>
              <w:left w:val="single" w:color="auto" w:sz="4" w:space="0"/>
              <w:bottom w:val="single" w:color="auto" w:sz="4" w:space="0"/>
              <w:right w:val="single" w:color="auto" w:sz="4" w:space="0"/>
            </w:tcBorders>
            <w:vAlign w:val="center"/>
          </w:tcPr>
          <w:p w14:paraId="393FF89F">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擦拭服务窗口、各种开关盒、面板、告示牌、低处标识牌、引导牌、门把手、服务窗口、窗台、扶手、消防栓、消防器等低处物表擦拭</w:t>
            </w:r>
          </w:p>
        </w:tc>
        <w:tc>
          <w:tcPr>
            <w:tcW w:w="1575" w:type="dxa"/>
            <w:tcBorders>
              <w:top w:val="single" w:color="auto" w:sz="4" w:space="0"/>
              <w:left w:val="single" w:color="auto" w:sz="4" w:space="0"/>
              <w:bottom w:val="single" w:color="auto" w:sz="4" w:space="0"/>
              <w:right w:val="single" w:color="auto" w:sz="4" w:space="0"/>
            </w:tcBorders>
            <w:vAlign w:val="center"/>
          </w:tcPr>
          <w:p w14:paraId="12CAB258">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每日1次</w:t>
            </w:r>
          </w:p>
        </w:tc>
        <w:tc>
          <w:tcPr>
            <w:tcW w:w="3140" w:type="dxa"/>
            <w:tcBorders>
              <w:top w:val="single" w:color="auto" w:sz="4" w:space="0"/>
              <w:left w:val="single" w:color="auto" w:sz="4" w:space="0"/>
              <w:bottom w:val="single" w:color="auto" w:sz="4" w:space="0"/>
              <w:right w:val="single" w:color="auto" w:sz="12" w:space="0"/>
            </w:tcBorders>
            <w:vAlign w:val="center"/>
          </w:tcPr>
          <w:p w14:paraId="43DB8320">
            <w:pPr>
              <w:pStyle w:val="15"/>
              <w:spacing w:line="360" w:lineRule="auto"/>
              <w:ind w:right="602" w:righ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目视无积灰、无污渍</w:t>
            </w:r>
          </w:p>
        </w:tc>
      </w:tr>
      <w:tr w14:paraId="3A61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225FB695">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8</w:t>
            </w:r>
          </w:p>
        </w:tc>
        <w:tc>
          <w:tcPr>
            <w:tcW w:w="3705" w:type="dxa"/>
            <w:tcBorders>
              <w:top w:val="single" w:color="auto" w:sz="4" w:space="0"/>
              <w:left w:val="single" w:color="auto" w:sz="4" w:space="0"/>
              <w:bottom w:val="single" w:color="auto" w:sz="4" w:space="0"/>
              <w:right w:val="single" w:color="auto" w:sz="4" w:space="0"/>
            </w:tcBorders>
            <w:vAlign w:val="center"/>
          </w:tcPr>
          <w:p w14:paraId="044C78E1">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湿拖并清洁各楼层走廊卫生</w:t>
            </w:r>
          </w:p>
        </w:tc>
        <w:tc>
          <w:tcPr>
            <w:tcW w:w="1575" w:type="dxa"/>
            <w:tcBorders>
              <w:top w:val="single" w:color="auto" w:sz="4" w:space="0"/>
              <w:left w:val="single" w:color="auto" w:sz="4" w:space="0"/>
              <w:bottom w:val="single" w:color="auto" w:sz="4" w:space="0"/>
              <w:right w:val="single" w:color="auto" w:sz="4" w:space="0"/>
            </w:tcBorders>
            <w:vAlign w:val="center"/>
          </w:tcPr>
          <w:p w14:paraId="2B6B16E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每日 2 次</w:t>
            </w:r>
          </w:p>
        </w:tc>
        <w:tc>
          <w:tcPr>
            <w:tcW w:w="3140" w:type="dxa"/>
            <w:tcBorders>
              <w:top w:val="single" w:color="auto" w:sz="4" w:space="0"/>
              <w:left w:val="single" w:color="auto" w:sz="4" w:space="0"/>
              <w:bottom w:val="single" w:color="auto" w:sz="4" w:space="0"/>
              <w:right w:val="single" w:color="auto" w:sz="12" w:space="0"/>
            </w:tcBorders>
            <w:vAlign w:val="center"/>
          </w:tcPr>
          <w:p w14:paraId="634577E2">
            <w:pPr>
              <w:pStyle w:val="15"/>
              <w:spacing w:line="360" w:lineRule="auto"/>
              <w:ind w:right="602" w:rightChars="0"/>
              <w:jc w:val="both"/>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确保无污渍、无积灰</w:t>
            </w:r>
          </w:p>
        </w:tc>
      </w:tr>
      <w:tr w14:paraId="3DF3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283F922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9</w:t>
            </w:r>
          </w:p>
        </w:tc>
        <w:tc>
          <w:tcPr>
            <w:tcW w:w="3705" w:type="dxa"/>
            <w:tcBorders>
              <w:top w:val="single" w:color="auto" w:sz="4" w:space="0"/>
              <w:left w:val="single" w:color="auto" w:sz="4" w:space="0"/>
              <w:bottom w:val="single" w:color="auto" w:sz="4" w:space="0"/>
              <w:right w:val="single" w:color="auto" w:sz="4" w:space="0"/>
            </w:tcBorders>
            <w:vAlign w:val="center"/>
          </w:tcPr>
          <w:p w14:paraId="2A038748">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门、门框、高处标牌、壁挂物等高处物表擦拭，天花板清扫蜘蛛网</w:t>
            </w:r>
          </w:p>
        </w:tc>
        <w:tc>
          <w:tcPr>
            <w:tcW w:w="1575" w:type="dxa"/>
            <w:tcBorders>
              <w:top w:val="single" w:color="auto" w:sz="4" w:space="0"/>
              <w:left w:val="single" w:color="auto" w:sz="4" w:space="0"/>
              <w:bottom w:val="single" w:color="auto" w:sz="4" w:space="0"/>
              <w:right w:val="single" w:color="auto" w:sz="4" w:space="0"/>
            </w:tcBorders>
            <w:vAlign w:val="top"/>
          </w:tcPr>
          <w:p w14:paraId="1C213C6C">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每周1次</w:t>
            </w:r>
          </w:p>
        </w:tc>
        <w:tc>
          <w:tcPr>
            <w:tcW w:w="3140" w:type="dxa"/>
            <w:tcBorders>
              <w:top w:val="single" w:color="auto" w:sz="4" w:space="0"/>
              <w:left w:val="single" w:color="auto" w:sz="4" w:space="0"/>
              <w:bottom w:val="single" w:color="auto" w:sz="4" w:space="0"/>
              <w:right w:val="single" w:color="auto" w:sz="12" w:space="0"/>
            </w:tcBorders>
            <w:vAlign w:val="top"/>
          </w:tcPr>
          <w:p w14:paraId="39A8FBE8">
            <w:pPr>
              <w:pStyle w:val="15"/>
              <w:spacing w:line="360" w:lineRule="auto"/>
              <w:ind w:left="5" w:leftChars="0" w:right="83" w:rightChars="0"/>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目视无积灰、无污渍、无挂蜘蛛网</w:t>
            </w:r>
          </w:p>
        </w:tc>
      </w:tr>
      <w:tr w14:paraId="54C4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068FE6FE">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10</w:t>
            </w:r>
          </w:p>
        </w:tc>
        <w:tc>
          <w:tcPr>
            <w:tcW w:w="3705" w:type="dxa"/>
            <w:tcBorders>
              <w:top w:val="single" w:color="auto" w:sz="4" w:space="0"/>
              <w:left w:val="single" w:color="auto" w:sz="4" w:space="0"/>
              <w:bottom w:val="single" w:color="auto" w:sz="4" w:space="0"/>
              <w:right w:val="single" w:color="auto" w:sz="4" w:space="0"/>
            </w:tcBorders>
            <w:vAlign w:val="center"/>
          </w:tcPr>
          <w:p w14:paraId="777BB774">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走梯刷洗、地面边角去污、垃圾桶清洗</w:t>
            </w:r>
          </w:p>
        </w:tc>
        <w:tc>
          <w:tcPr>
            <w:tcW w:w="1575" w:type="dxa"/>
            <w:tcBorders>
              <w:top w:val="single" w:color="auto" w:sz="4" w:space="0"/>
              <w:left w:val="single" w:color="auto" w:sz="4" w:space="0"/>
              <w:bottom w:val="single" w:color="auto" w:sz="4" w:space="0"/>
              <w:right w:val="single" w:color="auto" w:sz="4" w:space="0"/>
            </w:tcBorders>
            <w:vAlign w:val="center"/>
          </w:tcPr>
          <w:p w14:paraId="4556C9C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每周1次</w:t>
            </w:r>
          </w:p>
        </w:tc>
        <w:tc>
          <w:tcPr>
            <w:tcW w:w="3140" w:type="dxa"/>
            <w:tcBorders>
              <w:top w:val="single" w:color="auto" w:sz="4" w:space="0"/>
              <w:left w:val="single" w:color="auto" w:sz="4" w:space="0"/>
              <w:bottom w:val="single" w:color="auto" w:sz="4" w:space="0"/>
              <w:right w:val="single" w:color="auto" w:sz="12" w:space="0"/>
            </w:tcBorders>
            <w:vAlign w:val="center"/>
          </w:tcPr>
          <w:p w14:paraId="4F26D50E">
            <w:pPr>
              <w:pStyle w:val="15"/>
              <w:spacing w:line="360" w:lineRule="auto"/>
              <w:ind w:left="5" w:lef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无污渍、无垃圾</w:t>
            </w:r>
          </w:p>
        </w:tc>
      </w:tr>
      <w:tr w14:paraId="1C64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68818D73">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11</w:t>
            </w:r>
          </w:p>
        </w:tc>
        <w:tc>
          <w:tcPr>
            <w:tcW w:w="3705" w:type="dxa"/>
            <w:tcBorders>
              <w:top w:val="single" w:color="auto" w:sz="4" w:space="0"/>
              <w:left w:val="single" w:color="auto" w:sz="4" w:space="0"/>
              <w:bottom w:val="single" w:color="auto" w:sz="4" w:space="0"/>
              <w:right w:val="single" w:color="auto" w:sz="4" w:space="0"/>
            </w:tcBorders>
            <w:vAlign w:val="center"/>
          </w:tcPr>
          <w:p w14:paraId="0F375F0D">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大厅玻璃门擦拭</w:t>
            </w:r>
          </w:p>
        </w:tc>
        <w:tc>
          <w:tcPr>
            <w:tcW w:w="1575" w:type="dxa"/>
            <w:tcBorders>
              <w:top w:val="single" w:color="auto" w:sz="4" w:space="0"/>
              <w:left w:val="single" w:color="auto" w:sz="4" w:space="0"/>
              <w:bottom w:val="single" w:color="auto" w:sz="4" w:space="0"/>
              <w:right w:val="single" w:color="auto" w:sz="4" w:space="0"/>
            </w:tcBorders>
            <w:vAlign w:val="center"/>
          </w:tcPr>
          <w:p w14:paraId="4061D070">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每周1次</w:t>
            </w:r>
          </w:p>
        </w:tc>
        <w:tc>
          <w:tcPr>
            <w:tcW w:w="3140" w:type="dxa"/>
            <w:tcBorders>
              <w:top w:val="single" w:color="auto" w:sz="4" w:space="0"/>
              <w:left w:val="single" w:color="auto" w:sz="4" w:space="0"/>
              <w:bottom w:val="single" w:color="auto" w:sz="4" w:space="0"/>
              <w:right w:val="single" w:color="auto" w:sz="12" w:space="0"/>
            </w:tcBorders>
            <w:vAlign w:val="center"/>
          </w:tcPr>
          <w:p w14:paraId="66F6B2A8">
            <w:pPr>
              <w:pStyle w:val="15"/>
              <w:spacing w:before="129" w:line="360" w:lineRule="auto"/>
              <w:ind w:left="5" w:leftChars="0" w:right="-15" w:righ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有手印随时擦拭，确保无污渍、手印等</w:t>
            </w:r>
          </w:p>
        </w:tc>
      </w:tr>
      <w:tr w14:paraId="1FEB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24672E1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12</w:t>
            </w:r>
          </w:p>
        </w:tc>
        <w:tc>
          <w:tcPr>
            <w:tcW w:w="3705" w:type="dxa"/>
            <w:tcBorders>
              <w:top w:val="single" w:color="auto" w:sz="4" w:space="0"/>
              <w:left w:val="single" w:color="auto" w:sz="4" w:space="0"/>
              <w:bottom w:val="single" w:color="auto" w:sz="4" w:space="0"/>
              <w:right w:val="single" w:color="auto" w:sz="4" w:space="0"/>
            </w:tcBorders>
            <w:vAlign w:val="center"/>
          </w:tcPr>
          <w:p w14:paraId="28440325">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地下室地面机洗</w:t>
            </w:r>
          </w:p>
        </w:tc>
        <w:tc>
          <w:tcPr>
            <w:tcW w:w="1575" w:type="dxa"/>
            <w:tcBorders>
              <w:top w:val="single" w:color="auto" w:sz="4" w:space="0"/>
              <w:left w:val="single" w:color="auto" w:sz="4" w:space="0"/>
              <w:bottom w:val="single" w:color="auto" w:sz="4" w:space="0"/>
              <w:right w:val="single" w:color="auto" w:sz="4" w:space="0"/>
            </w:tcBorders>
            <w:vAlign w:val="center"/>
          </w:tcPr>
          <w:p w14:paraId="4E49E4FE">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每2周1次</w:t>
            </w:r>
          </w:p>
        </w:tc>
        <w:tc>
          <w:tcPr>
            <w:tcW w:w="3140" w:type="dxa"/>
            <w:tcBorders>
              <w:top w:val="single" w:color="auto" w:sz="4" w:space="0"/>
              <w:left w:val="single" w:color="auto" w:sz="4" w:space="0"/>
              <w:bottom w:val="single" w:color="auto" w:sz="4" w:space="0"/>
              <w:right w:val="single" w:color="auto" w:sz="12" w:space="0"/>
            </w:tcBorders>
            <w:vAlign w:val="center"/>
          </w:tcPr>
          <w:p w14:paraId="4B49BA8A">
            <w:pPr>
              <w:pStyle w:val="15"/>
              <w:spacing w:before="88" w:line="360" w:lineRule="auto"/>
              <w:ind w:left="5" w:leftChars="0"/>
              <w:jc w:val="left"/>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确保地面光亮、无污渍、无垃圾</w:t>
            </w:r>
          </w:p>
        </w:tc>
      </w:tr>
      <w:tr w14:paraId="4D1F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66564324">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13</w:t>
            </w:r>
          </w:p>
        </w:tc>
        <w:tc>
          <w:tcPr>
            <w:tcW w:w="3705" w:type="dxa"/>
            <w:tcBorders>
              <w:top w:val="single" w:color="auto" w:sz="4" w:space="0"/>
              <w:left w:val="single" w:color="auto" w:sz="4" w:space="0"/>
              <w:bottom w:val="single" w:color="auto" w:sz="4" w:space="0"/>
              <w:right w:val="single" w:color="auto" w:sz="4" w:space="0"/>
            </w:tcBorders>
            <w:vAlign w:val="center"/>
          </w:tcPr>
          <w:p w14:paraId="17A588BE">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公共卫生间全面清洁</w:t>
            </w:r>
          </w:p>
        </w:tc>
        <w:tc>
          <w:tcPr>
            <w:tcW w:w="1575" w:type="dxa"/>
            <w:tcBorders>
              <w:top w:val="single" w:color="auto" w:sz="4" w:space="0"/>
              <w:left w:val="single" w:color="auto" w:sz="4" w:space="0"/>
              <w:bottom w:val="single" w:color="auto" w:sz="4" w:space="0"/>
              <w:right w:val="single" w:color="auto" w:sz="4" w:space="0"/>
            </w:tcBorders>
            <w:vAlign w:val="center"/>
          </w:tcPr>
          <w:p w14:paraId="0893BC9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每周1次</w:t>
            </w:r>
          </w:p>
        </w:tc>
        <w:tc>
          <w:tcPr>
            <w:tcW w:w="3140" w:type="dxa"/>
            <w:tcBorders>
              <w:top w:val="single" w:color="auto" w:sz="4" w:space="0"/>
              <w:left w:val="single" w:color="auto" w:sz="4" w:space="0"/>
              <w:bottom w:val="single" w:color="auto" w:sz="4" w:space="0"/>
              <w:right w:val="single" w:color="auto" w:sz="12" w:space="0"/>
            </w:tcBorders>
            <w:vAlign w:val="center"/>
          </w:tcPr>
          <w:p w14:paraId="7974EC95">
            <w:pPr>
              <w:pStyle w:val="15"/>
              <w:spacing w:before="86" w:line="360" w:lineRule="auto"/>
              <w:ind w:left="5" w:lef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kern w:val="2"/>
                <w:sz w:val="28"/>
                <w:szCs w:val="28"/>
                <w:lang w:val="en-US" w:eastAsia="zh-CN" w:bidi="ar-SA"/>
              </w:rPr>
              <w:t>确保无污渍、无异味</w:t>
            </w:r>
          </w:p>
        </w:tc>
      </w:tr>
      <w:tr w14:paraId="7B2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tcBorders>
              <w:top w:val="single" w:color="auto" w:sz="4" w:space="0"/>
              <w:left w:val="single" w:color="auto" w:sz="12" w:space="0"/>
              <w:bottom w:val="single" w:color="auto" w:sz="4" w:space="0"/>
              <w:right w:val="single" w:color="auto" w:sz="4" w:space="0"/>
            </w:tcBorders>
            <w:vAlign w:val="center"/>
          </w:tcPr>
          <w:p w14:paraId="3F4BCF8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14</w:t>
            </w:r>
          </w:p>
        </w:tc>
        <w:tc>
          <w:tcPr>
            <w:tcW w:w="3705" w:type="dxa"/>
            <w:tcBorders>
              <w:top w:val="single" w:color="auto" w:sz="4" w:space="0"/>
              <w:left w:val="single" w:color="auto" w:sz="4" w:space="0"/>
              <w:bottom w:val="single" w:color="auto" w:sz="4" w:space="0"/>
              <w:right w:val="single" w:color="auto" w:sz="4" w:space="0"/>
            </w:tcBorders>
            <w:vAlign w:val="center"/>
          </w:tcPr>
          <w:p w14:paraId="505DAFB3">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窗户玻璃擦拭</w:t>
            </w:r>
          </w:p>
        </w:tc>
        <w:tc>
          <w:tcPr>
            <w:tcW w:w="1575" w:type="dxa"/>
            <w:tcBorders>
              <w:top w:val="single" w:color="auto" w:sz="4" w:space="0"/>
              <w:left w:val="single" w:color="auto" w:sz="4" w:space="0"/>
              <w:bottom w:val="single" w:color="auto" w:sz="4" w:space="0"/>
              <w:right w:val="single" w:color="auto" w:sz="4" w:space="0"/>
            </w:tcBorders>
            <w:vAlign w:val="center"/>
          </w:tcPr>
          <w:p w14:paraId="126D81A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每年2次</w:t>
            </w:r>
          </w:p>
        </w:tc>
        <w:tc>
          <w:tcPr>
            <w:tcW w:w="3140" w:type="dxa"/>
            <w:tcBorders>
              <w:top w:val="single" w:color="auto" w:sz="4" w:space="0"/>
              <w:left w:val="single" w:color="auto" w:sz="4" w:space="0"/>
              <w:bottom w:val="single" w:color="auto" w:sz="4" w:space="0"/>
              <w:right w:val="single" w:color="auto" w:sz="12" w:space="0"/>
            </w:tcBorders>
            <w:vAlign w:val="center"/>
          </w:tcPr>
          <w:p w14:paraId="064AF2CC">
            <w:pPr>
              <w:pStyle w:val="15"/>
              <w:spacing w:before="86" w:line="360" w:lineRule="auto"/>
              <w:ind w:left="5" w:lef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2"/>
                <w:sz w:val="28"/>
                <w:szCs w:val="28"/>
              </w:rPr>
              <w:t>光亮、洁净</w:t>
            </w:r>
          </w:p>
        </w:tc>
      </w:tr>
      <w:tr w14:paraId="6676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dxa"/>
            <w:tcBorders>
              <w:top w:val="single" w:color="auto" w:sz="4" w:space="0"/>
              <w:left w:val="single" w:color="auto" w:sz="12" w:space="0"/>
              <w:bottom w:val="single" w:color="auto" w:sz="12" w:space="0"/>
              <w:right w:val="single" w:color="auto" w:sz="4" w:space="0"/>
            </w:tcBorders>
            <w:vAlign w:val="center"/>
          </w:tcPr>
          <w:p w14:paraId="7CC8D158">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default"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15</w:t>
            </w:r>
          </w:p>
        </w:tc>
        <w:tc>
          <w:tcPr>
            <w:tcW w:w="3705" w:type="dxa"/>
            <w:tcBorders>
              <w:top w:val="single" w:color="auto" w:sz="4" w:space="0"/>
              <w:left w:val="single" w:color="auto" w:sz="4" w:space="0"/>
              <w:bottom w:val="single" w:color="auto" w:sz="12" w:space="0"/>
              <w:right w:val="single" w:color="auto" w:sz="4" w:space="0"/>
            </w:tcBorders>
            <w:vAlign w:val="center"/>
          </w:tcPr>
          <w:p w14:paraId="4A688282">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both"/>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下班后关灯、空调、风扇、及水龙头（含公共区域）</w:t>
            </w:r>
          </w:p>
        </w:tc>
        <w:tc>
          <w:tcPr>
            <w:tcW w:w="1575" w:type="dxa"/>
            <w:tcBorders>
              <w:top w:val="single" w:color="auto" w:sz="4" w:space="0"/>
              <w:left w:val="single" w:color="auto" w:sz="4" w:space="0"/>
              <w:bottom w:val="single" w:color="auto" w:sz="12" w:space="0"/>
              <w:right w:val="single" w:color="auto" w:sz="4" w:space="0"/>
            </w:tcBorders>
            <w:vAlign w:val="center"/>
          </w:tcPr>
          <w:p w14:paraId="426D86C9">
            <w:pPr>
              <w:pStyle w:val="4"/>
              <w:keepNext w:val="0"/>
              <w:keepLines w:val="0"/>
              <w:pageBreakBefore w:val="0"/>
              <w:widowControl w:val="0"/>
              <w:kinsoku/>
              <w:wordWrap/>
              <w:overflowPunct/>
              <w:topLinePunct w:val="0"/>
              <w:autoSpaceDE/>
              <w:autoSpaceDN/>
              <w:bidi w:val="0"/>
              <w:adjustRightInd/>
              <w:snapToGrid w:val="0"/>
              <w:spacing w:before="158" w:line="240" w:lineRule="auto"/>
              <w:ind w:left="0" w:leftChars="0" w:right="0" w:rightChars="0" w:firstLine="0" w:firstLineChars="0"/>
              <w:jc w:val="center"/>
              <w:textAlignment w:val="auto"/>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b w:val="0"/>
                <w:bCs w:val="0"/>
                <w:color w:val="000000"/>
                <w:spacing w:val="-4"/>
                <w:sz w:val="28"/>
                <w:szCs w:val="28"/>
                <w:vertAlign w:val="baseline"/>
                <w:lang w:val="en-US" w:eastAsia="zh-CN"/>
              </w:rPr>
              <w:t>每天1次</w:t>
            </w:r>
          </w:p>
        </w:tc>
        <w:tc>
          <w:tcPr>
            <w:tcW w:w="3140" w:type="dxa"/>
            <w:tcBorders>
              <w:top w:val="single" w:color="auto" w:sz="4" w:space="0"/>
              <w:left w:val="single" w:color="auto" w:sz="4" w:space="0"/>
              <w:bottom w:val="single" w:color="auto" w:sz="12" w:space="0"/>
              <w:right w:val="single" w:color="auto" w:sz="12" w:space="0"/>
            </w:tcBorders>
            <w:vAlign w:val="center"/>
          </w:tcPr>
          <w:p w14:paraId="4EEF3E79">
            <w:pPr>
              <w:pStyle w:val="15"/>
              <w:spacing w:before="91" w:line="360" w:lineRule="auto"/>
              <w:ind w:left="5" w:leftChars="0" w:right="-15" w:rightChars="0"/>
              <w:jc w:val="left"/>
              <w:rPr>
                <w:rFonts w:hint="eastAsia" w:ascii="仿宋" w:hAnsi="仿宋" w:eastAsia="仿宋" w:cs="仿宋"/>
                <w:b w:val="0"/>
                <w:bCs w:val="0"/>
                <w:color w:val="000000"/>
                <w:spacing w:val="-4"/>
                <w:sz w:val="28"/>
                <w:szCs w:val="28"/>
                <w:vertAlign w:val="baseline"/>
                <w:lang w:val="en-US" w:eastAsia="zh-CN"/>
              </w:rPr>
            </w:pPr>
            <w:r>
              <w:rPr>
                <w:rFonts w:hint="eastAsia" w:ascii="仿宋" w:hAnsi="仿宋" w:eastAsia="仿宋" w:cs="仿宋"/>
                <w:color w:val="000000"/>
                <w:spacing w:val="3"/>
                <w:sz w:val="28"/>
                <w:szCs w:val="28"/>
              </w:rPr>
              <w:t xml:space="preserve">下班 </w:t>
            </w:r>
            <w:r>
              <w:rPr>
                <w:rFonts w:hint="eastAsia" w:ascii="仿宋" w:hAnsi="仿宋" w:eastAsia="仿宋" w:cs="仿宋"/>
                <w:color w:val="000000"/>
                <w:sz w:val="28"/>
                <w:szCs w:val="28"/>
              </w:rPr>
              <w:t>60</w:t>
            </w:r>
            <w:r>
              <w:rPr>
                <w:rFonts w:hint="eastAsia" w:ascii="仿宋" w:hAnsi="仿宋" w:eastAsia="仿宋" w:cs="仿宋"/>
                <w:color w:val="000000"/>
                <w:spacing w:val="7"/>
                <w:sz w:val="28"/>
                <w:szCs w:val="28"/>
              </w:rPr>
              <w:t xml:space="preserve"> 分钟内，巡视各</w:t>
            </w:r>
            <w:r>
              <w:rPr>
                <w:rFonts w:hint="eastAsia" w:ascii="仿宋" w:hAnsi="仿宋" w:eastAsia="仿宋" w:cs="仿宋"/>
                <w:color w:val="000000"/>
                <w:spacing w:val="-10"/>
                <w:sz w:val="28"/>
                <w:szCs w:val="28"/>
              </w:rPr>
              <w:t>区</w:t>
            </w:r>
          </w:p>
        </w:tc>
      </w:tr>
    </w:tbl>
    <w:p w14:paraId="1BB3E428">
      <w:pPr>
        <w:pStyle w:val="13"/>
        <w:keepLines w:val="0"/>
        <w:pageBreakBefore w:val="0"/>
        <w:widowControl w:val="0"/>
        <w:kinsoku/>
        <w:wordWrap/>
        <w:overflowPunct/>
        <w:topLinePunct w:val="0"/>
        <w:bidi w:val="0"/>
        <w:spacing w:after="0" w:line="360" w:lineRule="auto"/>
        <w:ind w:firstLine="562" w:firstLineChars="200"/>
        <w:jc w:val="both"/>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2.5设备设施管理服务</w:t>
      </w:r>
    </w:p>
    <w:p w14:paraId="398D96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仿宋_GB2312" w:hAnsi="仿宋_GB2312" w:eastAsia="仿宋_GB2312" w:cs="仿宋_GB2312"/>
          <w:b/>
          <w:color w:val="auto"/>
          <w:sz w:val="28"/>
          <w:szCs w:val="28"/>
          <w:highlight w:val="none"/>
          <w:lang w:val="en-US" w:eastAsia="zh-CN"/>
        </w:rPr>
        <w:t>2.5.1</w:t>
      </w:r>
      <w:r>
        <w:rPr>
          <w:rFonts w:hint="eastAsia" w:ascii="宋体" w:hAnsi="宋体" w:eastAsia="宋体" w:cs="宋体"/>
          <w:i w:val="0"/>
          <w:iCs w:val="0"/>
          <w:caps w:val="0"/>
          <w:spacing w:val="15"/>
          <w:sz w:val="28"/>
          <w:szCs w:val="28"/>
          <w:shd w:val="clear" w:fill="FFFFFF"/>
        </w:rPr>
        <w:t>智能化系统（门禁系统、监控系统、信息显示等系统）：对各种系统性能状态进行检查， 发现故障及时报告并配合处理，确保楼宇智能设备运转自动化状态良好，设备整洁、标识明显。</w:t>
      </w:r>
    </w:p>
    <w:p w14:paraId="5E67AA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宋体" w:hAnsi="宋体" w:eastAsia="宋体" w:cs="宋体"/>
          <w:i w:val="0"/>
          <w:iCs w:val="0"/>
          <w:caps w:val="0"/>
          <w:spacing w:val="15"/>
          <w:sz w:val="28"/>
          <w:szCs w:val="28"/>
          <w:shd w:val="clear" w:fill="FFFFFF"/>
          <w:lang w:val="en-US" w:eastAsia="zh-CN"/>
        </w:rPr>
        <w:t>2.5.2</w:t>
      </w:r>
      <w:r>
        <w:rPr>
          <w:rFonts w:hint="eastAsia" w:ascii="宋体" w:hAnsi="宋体" w:eastAsia="宋体" w:cs="宋体"/>
          <w:i w:val="0"/>
          <w:iCs w:val="0"/>
          <w:caps w:val="0"/>
          <w:spacing w:val="15"/>
          <w:sz w:val="28"/>
          <w:szCs w:val="28"/>
          <w:shd w:val="clear" w:fill="FFFFFF"/>
        </w:rPr>
        <w:t>给排水设备：保证给排水系统正常运行使用。建立供水管理制度，保证二次供水符合国家标准，防止跑、冒、滴、漏，对供水系统管路、水泵、水箱、阀门等进行日常巡检，水箱保持清洁卫生并每</w:t>
      </w:r>
      <w:r>
        <w:rPr>
          <w:rFonts w:hint="eastAsia" w:ascii="宋体" w:hAnsi="宋体" w:eastAsia="宋体" w:cs="宋体"/>
          <w:i w:val="0"/>
          <w:iCs w:val="0"/>
          <w:caps w:val="0"/>
          <w:spacing w:val="15"/>
          <w:sz w:val="28"/>
          <w:szCs w:val="28"/>
          <w:shd w:val="clear" w:fill="FFFFFF"/>
          <w:lang w:val="en-US" w:eastAsia="zh-CN"/>
        </w:rPr>
        <w:t>年</w:t>
      </w:r>
      <w:r>
        <w:rPr>
          <w:rFonts w:hint="eastAsia" w:ascii="宋体" w:hAnsi="宋体" w:eastAsia="宋体" w:cs="宋体"/>
          <w:i w:val="0"/>
          <w:iCs w:val="0"/>
          <w:caps w:val="0"/>
          <w:spacing w:val="15"/>
          <w:sz w:val="28"/>
          <w:szCs w:val="28"/>
          <w:shd w:val="clear" w:fill="FFFFFF"/>
        </w:rPr>
        <w:t>消毒一次，定期对水泵房及机电设备进行检查、保养、维修、清洁；定期对排水管进行清通、养护及清除污垢，保证室内外排水系统通畅</w:t>
      </w:r>
      <w:r>
        <w:rPr>
          <w:rFonts w:hint="eastAsia" w:ascii="宋体" w:hAnsi="宋体" w:eastAsia="宋体" w:cs="宋体"/>
          <w:i w:val="0"/>
          <w:iCs w:val="0"/>
          <w:caps w:val="0"/>
          <w:spacing w:val="15"/>
          <w:sz w:val="28"/>
          <w:szCs w:val="28"/>
          <w:shd w:val="clear" w:fill="FFFFFF"/>
          <w:lang w:eastAsia="zh-CN"/>
        </w:rPr>
        <w:t>，</w:t>
      </w:r>
      <w:r>
        <w:rPr>
          <w:rFonts w:hint="eastAsia" w:ascii="宋体" w:hAnsi="宋体" w:eastAsia="宋体" w:cs="宋体"/>
          <w:i w:val="0"/>
          <w:iCs w:val="0"/>
          <w:caps w:val="0"/>
          <w:spacing w:val="15"/>
          <w:sz w:val="28"/>
          <w:szCs w:val="28"/>
          <w:shd w:val="clear" w:fill="FFFFFF"/>
        </w:rPr>
        <w:t>及时发现并解决配合故障。确保水表数据准确。</w:t>
      </w:r>
    </w:p>
    <w:p w14:paraId="2BF6FE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 xml:space="preserve">2.5.3 </w:t>
      </w:r>
      <w:r>
        <w:rPr>
          <w:rFonts w:hint="eastAsia" w:ascii="宋体" w:hAnsi="宋体" w:eastAsia="宋体" w:cs="宋体"/>
          <w:i w:val="0"/>
          <w:iCs w:val="0"/>
          <w:caps w:val="0"/>
          <w:spacing w:val="15"/>
          <w:sz w:val="28"/>
          <w:szCs w:val="28"/>
          <w:shd w:val="clear" w:fill="FFFFFF"/>
        </w:rPr>
        <w:t>照明系统（含室内外灯光）：外观整洁无缺损、松落和安全隐患，灯具和光源完好率、维修更换及时率</w:t>
      </w:r>
      <w:r>
        <w:rPr>
          <w:rFonts w:hint="default" w:ascii="Calibri" w:hAnsi="Calibri" w:eastAsia="宋体" w:cs="Calibri"/>
          <w:i w:val="0"/>
          <w:iCs w:val="0"/>
          <w:caps w:val="0"/>
          <w:spacing w:val="15"/>
          <w:sz w:val="28"/>
          <w:szCs w:val="28"/>
          <w:shd w:val="clear" w:fill="FFFFFF"/>
        </w:rPr>
        <w:t>100%</w:t>
      </w:r>
      <w:r>
        <w:rPr>
          <w:rFonts w:hint="eastAsia" w:ascii="宋体" w:hAnsi="宋体" w:eastAsia="宋体" w:cs="宋体"/>
          <w:i w:val="0"/>
          <w:iCs w:val="0"/>
          <w:caps w:val="0"/>
          <w:spacing w:val="15"/>
          <w:sz w:val="28"/>
          <w:szCs w:val="28"/>
          <w:shd w:val="clear" w:fill="FFFFFF"/>
        </w:rPr>
        <w:t>，无昆虫、蜘蛛网、积尘等。</w:t>
      </w:r>
    </w:p>
    <w:p w14:paraId="61F1EC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2.5.4</w:t>
      </w:r>
      <w:r>
        <w:rPr>
          <w:rFonts w:hint="eastAsia" w:ascii="宋体" w:hAnsi="宋体" w:eastAsia="宋体" w:cs="宋体"/>
          <w:i w:val="0"/>
          <w:iCs w:val="0"/>
          <w:caps w:val="0"/>
          <w:spacing w:val="15"/>
          <w:sz w:val="28"/>
          <w:szCs w:val="28"/>
          <w:shd w:val="clear" w:fill="FFFFFF"/>
        </w:rPr>
        <w:t>电梯管理：相关管理人员有电梯管理员证。建立电梯运行管理、安全管理制度。电梯安全措施齐全、有效。轿厢、井道保持清洁。电梯运行记录完备。编制电梯应急预案，规定应急处理人员抵达现场时限，及时、正确、有效处理电梯困人等故障。严格执行《特种设备安全法》等其它有关规定。</w:t>
      </w:r>
    </w:p>
    <w:p w14:paraId="5A4693B6">
      <w:pPr>
        <w:pStyle w:val="13"/>
        <w:keepLines w:val="0"/>
        <w:pageBreakBefore w:val="0"/>
        <w:widowControl w:val="0"/>
        <w:kinsoku/>
        <w:wordWrap/>
        <w:overflowPunct/>
        <w:topLinePunct w:val="0"/>
        <w:bidi w:val="0"/>
        <w:spacing w:after="0" w:line="360" w:lineRule="auto"/>
        <w:ind w:firstLine="562" w:firstLineChars="200"/>
        <w:jc w:val="both"/>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2.5.5自动喷淋系统、火灾自动报警系统等消防设施设备外观整洁，标识完好有效且正确，需每周进行擦拭保养。</w:t>
      </w:r>
    </w:p>
    <w:p w14:paraId="6107CA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435" w:right="0" w:firstLine="0"/>
        <w:jc w:val="both"/>
        <w:rPr>
          <w:rFonts w:hint="eastAsia" w:ascii="仿宋" w:hAnsi="仿宋" w:eastAsia="仿宋" w:cs="仿宋"/>
          <w:i w:val="0"/>
          <w:iCs w:val="0"/>
          <w:caps w:val="0"/>
          <w:spacing w:val="8"/>
          <w:sz w:val="28"/>
          <w:szCs w:val="28"/>
        </w:rPr>
      </w:pPr>
      <w:r>
        <w:rPr>
          <w:rStyle w:val="11"/>
          <w:rFonts w:hint="eastAsia" w:ascii="宋体" w:hAnsi="宋体" w:eastAsia="宋体" w:cs="宋体"/>
          <w:i w:val="0"/>
          <w:iCs w:val="0"/>
          <w:caps w:val="0"/>
          <w:spacing w:val="8"/>
          <w:sz w:val="28"/>
          <w:szCs w:val="28"/>
          <w:shd w:val="clear" w:fill="FFFFFF"/>
          <w:lang w:val="en-US" w:eastAsia="zh-CN"/>
        </w:rPr>
        <w:t>2.6</w:t>
      </w:r>
      <w:r>
        <w:rPr>
          <w:rStyle w:val="11"/>
          <w:rFonts w:hint="eastAsia" w:ascii="宋体" w:hAnsi="宋体" w:eastAsia="宋体" w:cs="宋体"/>
          <w:i w:val="0"/>
          <w:iCs w:val="0"/>
          <w:caps w:val="0"/>
          <w:spacing w:val="8"/>
          <w:sz w:val="28"/>
          <w:szCs w:val="28"/>
          <w:shd w:val="clear" w:fill="FFFFFF"/>
        </w:rPr>
        <w:t>建筑物日常维修养护及其他管理服务</w:t>
      </w:r>
    </w:p>
    <w:p w14:paraId="40DC91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w:t>
      </w:r>
      <w:r>
        <w:rPr>
          <w:rFonts w:hint="default" w:ascii="Calibri" w:hAnsi="Calibri" w:eastAsia="宋体" w:cs="Calibri"/>
          <w:i w:val="0"/>
          <w:iCs w:val="0"/>
          <w:caps w:val="0"/>
          <w:spacing w:val="15"/>
          <w:sz w:val="28"/>
          <w:szCs w:val="28"/>
          <w:shd w:val="clear" w:fill="FFFFFF"/>
        </w:rPr>
        <w:t>6.1</w:t>
      </w:r>
      <w:r>
        <w:rPr>
          <w:rFonts w:hint="eastAsia" w:ascii="宋体" w:hAnsi="宋体" w:eastAsia="宋体" w:cs="宋体"/>
          <w:i w:val="0"/>
          <w:iCs w:val="0"/>
          <w:caps w:val="0"/>
          <w:spacing w:val="15"/>
          <w:sz w:val="28"/>
          <w:szCs w:val="28"/>
          <w:shd w:val="clear" w:fill="FFFFFF"/>
        </w:rPr>
        <w:t>建筑物外观、各种指示标识完好、清洁，工作记录完整。确保房屋、门窗的完好和正常使用。</w:t>
      </w:r>
    </w:p>
    <w:p w14:paraId="4BA92A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w:t>
      </w:r>
      <w:r>
        <w:rPr>
          <w:rFonts w:hint="default" w:ascii="Calibri" w:hAnsi="Calibri" w:eastAsia="宋体" w:cs="Calibri"/>
          <w:i w:val="0"/>
          <w:iCs w:val="0"/>
          <w:caps w:val="0"/>
          <w:spacing w:val="15"/>
          <w:sz w:val="28"/>
          <w:szCs w:val="28"/>
          <w:shd w:val="clear" w:fill="FFFFFF"/>
        </w:rPr>
        <w:t>6.2</w:t>
      </w:r>
      <w:r>
        <w:rPr>
          <w:rFonts w:hint="eastAsia" w:ascii="宋体" w:hAnsi="宋体" w:eastAsia="宋体" w:cs="宋体"/>
          <w:i w:val="0"/>
          <w:iCs w:val="0"/>
          <w:caps w:val="0"/>
          <w:spacing w:val="15"/>
          <w:sz w:val="28"/>
          <w:szCs w:val="28"/>
          <w:shd w:val="clear" w:fill="FFFFFF"/>
        </w:rPr>
        <w:t>建筑物及附属设施按计划维修、维护，建立维修回访制度且记录完整。</w:t>
      </w:r>
    </w:p>
    <w:p w14:paraId="218517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w:t>
      </w:r>
      <w:r>
        <w:rPr>
          <w:rFonts w:hint="default" w:ascii="Calibri" w:hAnsi="Calibri" w:eastAsia="宋体" w:cs="Calibri"/>
          <w:i w:val="0"/>
          <w:iCs w:val="0"/>
          <w:caps w:val="0"/>
          <w:spacing w:val="15"/>
          <w:sz w:val="28"/>
          <w:szCs w:val="28"/>
          <w:shd w:val="clear" w:fill="FFFFFF"/>
        </w:rPr>
        <w:t>6.3</w:t>
      </w:r>
      <w:r>
        <w:rPr>
          <w:rFonts w:hint="eastAsia" w:ascii="宋体" w:hAnsi="宋体" w:eastAsia="宋体" w:cs="宋体"/>
          <w:i w:val="0"/>
          <w:iCs w:val="0"/>
          <w:caps w:val="0"/>
          <w:spacing w:val="15"/>
          <w:sz w:val="28"/>
          <w:szCs w:val="28"/>
          <w:shd w:val="clear" w:fill="FFFFFF"/>
        </w:rPr>
        <w:t>定期向采购方提交建筑物维修养护计划，配合采购方维护维修的实施。</w:t>
      </w:r>
    </w:p>
    <w:p w14:paraId="2E658C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w:t>
      </w:r>
      <w:r>
        <w:rPr>
          <w:rFonts w:hint="default" w:ascii="Calibri" w:hAnsi="Calibri" w:eastAsia="宋体" w:cs="Calibri"/>
          <w:i w:val="0"/>
          <w:iCs w:val="0"/>
          <w:caps w:val="0"/>
          <w:spacing w:val="15"/>
          <w:sz w:val="28"/>
          <w:szCs w:val="28"/>
          <w:shd w:val="clear" w:fill="FFFFFF"/>
        </w:rPr>
        <w:t>6.4</w:t>
      </w:r>
      <w:r>
        <w:rPr>
          <w:rFonts w:hint="eastAsia" w:ascii="宋体" w:hAnsi="宋体" w:eastAsia="宋体" w:cs="宋体"/>
          <w:i w:val="0"/>
          <w:iCs w:val="0"/>
          <w:caps w:val="0"/>
          <w:spacing w:val="15"/>
          <w:sz w:val="28"/>
          <w:szCs w:val="28"/>
          <w:shd w:val="clear" w:fill="FFFFFF"/>
        </w:rPr>
        <w:t>建筑外墙（含铝格栅、玻璃）整洁，定期清洗（每年不少于 </w:t>
      </w:r>
      <w:r>
        <w:rPr>
          <w:rFonts w:hint="default" w:ascii="Calibri" w:hAnsi="Calibri" w:eastAsia="宋体" w:cs="Calibri"/>
          <w:i w:val="0"/>
          <w:iCs w:val="0"/>
          <w:caps w:val="0"/>
          <w:spacing w:val="15"/>
          <w:sz w:val="28"/>
          <w:szCs w:val="28"/>
          <w:shd w:val="clear" w:fill="FFFFFF"/>
        </w:rPr>
        <w:t>1 </w:t>
      </w:r>
      <w:r>
        <w:rPr>
          <w:rFonts w:hint="eastAsia" w:ascii="宋体" w:hAnsi="宋体" w:eastAsia="宋体" w:cs="宋体"/>
          <w:i w:val="0"/>
          <w:iCs w:val="0"/>
          <w:caps w:val="0"/>
          <w:spacing w:val="15"/>
          <w:sz w:val="28"/>
          <w:szCs w:val="28"/>
          <w:shd w:val="clear" w:fill="FFFFFF"/>
        </w:rPr>
        <w:t>次），并保障建筑亮化正常运行，如因清洗造成亮化灯等故障，必须免费维修更换到位。</w:t>
      </w:r>
    </w:p>
    <w:p w14:paraId="1C08D4A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w:t>
      </w:r>
      <w:r>
        <w:rPr>
          <w:rFonts w:hint="default" w:ascii="Calibri" w:hAnsi="Calibri" w:eastAsia="宋体" w:cs="Calibri"/>
          <w:i w:val="0"/>
          <w:iCs w:val="0"/>
          <w:caps w:val="0"/>
          <w:spacing w:val="15"/>
          <w:sz w:val="28"/>
          <w:szCs w:val="28"/>
          <w:shd w:val="clear" w:fill="FFFFFF"/>
        </w:rPr>
        <w:t>6.5</w:t>
      </w:r>
      <w:r>
        <w:rPr>
          <w:rFonts w:hint="eastAsia" w:ascii="宋体" w:hAnsi="宋体" w:eastAsia="宋体" w:cs="宋体"/>
          <w:i w:val="0"/>
          <w:iCs w:val="0"/>
          <w:caps w:val="0"/>
          <w:spacing w:val="15"/>
          <w:sz w:val="28"/>
          <w:szCs w:val="28"/>
          <w:shd w:val="clear" w:fill="FFFFFF"/>
        </w:rPr>
        <w:t>应急处置要求、节能减排工作要求、其他可能出现的临时服务项目根据业主要求完成。</w:t>
      </w:r>
    </w:p>
    <w:p w14:paraId="0E39922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435" w:right="0" w:firstLine="0"/>
        <w:jc w:val="both"/>
        <w:rPr>
          <w:rFonts w:hint="eastAsia" w:ascii="仿宋" w:hAnsi="仿宋" w:eastAsia="仿宋" w:cs="仿宋"/>
          <w:i w:val="0"/>
          <w:iCs w:val="0"/>
          <w:caps w:val="0"/>
          <w:spacing w:val="8"/>
          <w:sz w:val="28"/>
          <w:szCs w:val="28"/>
        </w:rPr>
      </w:pPr>
      <w:r>
        <w:rPr>
          <w:rStyle w:val="11"/>
          <w:rFonts w:hint="eastAsia" w:ascii="宋体" w:hAnsi="宋体" w:eastAsia="宋体" w:cs="宋体"/>
          <w:i w:val="0"/>
          <w:iCs w:val="0"/>
          <w:caps w:val="0"/>
          <w:spacing w:val="8"/>
          <w:sz w:val="28"/>
          <w:szCs w:val="28"/>
          <w:shd w:val="clear" w:fill="FFFFFF"/>
          <w:lang w:val="en-US" w:eastAsia="zh-CN"/>
        </w:rPr>
        <w:t>2.7</w:t>
      </w:r>
      <w:r>
        <w:rPr>
          <w:rStyle w:val="11"/>
          <w:rFonts w:hint="eastAsia" w:ascii="宋体" w:hAnsi="宋体" w:eastAsia="宋体" w:cs="宋体"/>
          <w:i w:val="0"/>
          <w:iCs w:val="0"/>
          <w:caps w:val="0"/>
          <w:spacing w:val="8"/>
          <w:sz w:val="28"/>
          <w:szCs w:val="28"/>
          <w:shd w:val="clear" w:fill="FFFFFF"/>
        </w:rPr>
        <w:t>消防安全管理</w:t>
      </w:r>
    </w:p>
    <w:p w14:paraId="05AB7A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.1</w:t>
      </w:r>
      <w:r>
        <w:rPr>
          <w:rFonts w:hint="eastAsia" w:ascii="宋体" w:hAnsi="宋体" w:eastAsia="宋体" w:cs="宋体"/>
          <w:i w:val="0"/>
          <w:iCs w:val="0"/>
          <w:caps w:val="0"/>
          <w:spacing w:val="15"/>
          <w:sz w:val="28"/>
          <w:szCs w:val="28"/>
          <w:shd w:val="clear" w:fill="FFFFFF"/>
          <w:lang w:val="en-US" w:eastAsia="zh-CN"/>
        </w:rPr>
        <w:t>制定消防安全设施设备制度</w:t>
      </w:r>
      <w:r>
        <w:rPr>
          <w:rFonts w:hint="eastAsia" w:ascii="宋体" w:hAnsi="宋体" w:eastAsia="宋体" w:cs="宋体"/>
          <w:i w:val="0"/>
          <w:iCs w:val="0"/>
          <w:caps w:val="0"/>
          <w:spacing w:val="15"/>
          <w:sz w:val="28"/>
          <w:szCs w:val="28"/>
          <w:shd w:val="clear" w:fill="FFFFFF"/>
        </w:rPr>
        <w:t>；</w:t>
      </w:r>
    </w:p>
    <w:p w14:paraId="5E40AD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.2</w:t>
      </w:r>
      <w:r>
        <w:rPr>
          <w:rFonts w:hint="eastAsia" w:ascii="宋体" w:hAnsi="宋体" w:eastAsia="宋体" w:cs="宋体"/>
          <w:i w:val="0"/>
          <w:iCs w:val="0"/>
          <w:caps w:val="0"/>
          <w:spacing w:val="15"/>
          <w:sz w:val="28"/>
          <w:szCs w:val="28"/>
          <w:shd w:val="clear" w:fill="FFFFFF"/>
        </w:rPr>
        <w:t>日常检查巡视，确保消防系统的设施、线路齐全，完好无损，随时可启用；</w:t>
      </w:r>
    </w:p>
    <w:p w14:paraId="7038B3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.3</w:t>
      </w:r>
      <w:r>
        <w:rPr>
          <w:rFonts w:hint="eastAsia" w:ascii="宋体" w:hAnsi="宋体" w:eastAsia="宋体" w:cs="宋体"/>
          <w:i w:val="0"/>
          <w:iCs w:val="0"/>
          <w:caps w:val="0"/>
          <w:spacing w:val="15"/>
          <w:sz w:val="28"/>
          <w:szCs w:val="28"/>
          <w:shd w:val="clear" w:fill="FFFFFF"/>
          <w:lang w:val="en-US" w:eastAsia="zh-CN"/>
        </w:rPr>
        <w:t>有检查消防安全隐患的能力</w:t>
      </w:r>
      <w:r>
        <w:rPr>
          <w:rFonts w:hint="eastAsia" w:ascii="宋体" w:hAnsi="宋体" w:eastAsia="宋体" w:cs="宋体"/>
          <w:i w:val="0"/>
          <w:iCs w:val="0"/>
          <w:caps w:val="0"/>
          <w:spacing w:val="15"/>
          <w:sz w:val="28"/>
          <w:szCs w:val="28"/>
          <w:shd w:val="clear" w:fill="FFFFFF"/>
        </w:rPr>
        <w:t>；</w:t>
      </w:r>
    </w:p>
    <w:p w14:paraId="62AD93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.4</w:t>
      </w:r>
      <w:r>
        <w:rPr>
          <w:rFonts w:hint="eastAsia" w:ascii="宋体" w:hAnsi="宋体" w:eastAsia="宋体" w:cs="宋体"/>
          <w:i w:val="0"/>
          <w:iCs w:val="0"/>
          <w:caps w:val="0"/>
          <w:spacing w:val="15"/>
          <w:sz w:val="28"/>
          <w:szCs w:val="28"/>
          <w:shd w:val="clear" w:fill="FFFFFF"/>
        </w:rPr>
        <w:t>对损坏过期的消防器材提醒业主及时进行更换和充粉等；</w:t>
      </w:r>
    </w:p>
    <w:p w14:paraId="03C302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.5</w:t>
      </w:r>
      <w:r>
        <w:rPr>
          <w:rFonts w:hint="eastAsia" w:ascii="宋体" w:hAnsi="宋体" w:eastAsia="宋体" w:cs="宋体"/>
          <w:i w:val="0"/>
          <w:iCs w:val="0"/>
          <w:caps w:val="0"/>
          <w:spacing w:val="15"/>
          <w:sz w:val="28"/>
          <w:szCs w:val="28"/>
          <w:shd w:val="clear" w:fill="FFFFFF"/>
          <w:lang w:val="en-US" w:eastAsia="zh-CN"/>
        </w:rPr>
        <w:t>定期参与消防、消控室相关培训并有记录</w:t>
      </w:r>
      <w:r>
        <w:rPr>
          <w:rFonts w:hint="eastAsia" w:ascii="宋体" w:hAnsi="宋体" w:eastAsia="宋体" w:cs="宋体"/>
          <w:i w:val="0"/>
          <w:iCs w:val="0"/>
          <w:caps w:val="0"/>
          <w:spacing w:val="15"/>
          <w:sz w:val="28"/>
          <w:szCs w:val="28"/>
          <w:shd w:val="clear" w:fill="FFFFFF"/>
        </w:rPr>
        <w:t>。</w:t>
      </w:r>
    </w:p>
    <w:p w14:paraId="44602D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.6</w:t>
      </w:r>
      <w:r>
        <w:rPr>
          <w:rFonts w:hint="eastAsia" w:ascii="宋体" w:hAnsi="宋体" w:eastAsia="宋体" w:cs="宋体"/>
          <w:i w:val="0"/>
          <w:iCs w:val="0"/>
          <w:caps w:val="0"/>
          <w:spacing w:val="15"/>
          <w:sz w:val="28"/>
          <w:szCs w:val="28"/>
          <w:shd w:val="clear" w:fill="FFFFFF"/>
        </w:rPr>
        <w:t>制定消防控制室管理规定，记录并及时上报、处理消防故障；</w:t>
      </w:r>
    </w:p>
    <w:p w14:paraId="1E87E5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0"/>
        <w:jc w:val="both"/>
        <w:rPr>
          <w:rFonts w:hint="eastAsia" w:ascii="仿宋" w:hAnsi="仿宋" w:eastAsia="仿宋" w:cs="仿宋"/>
          <w:i w:val="0"/>
          <w:iCs w:val="0"/>
          <w:caps w:val="0"/>
          <w:spacing w:val="8"/>
          <w:sz w:val="28"/>
          <w:szCs w:val="28"/>
        </w:rPr>
      </w:pPr>
      <w:r>
        <w:rPr>
          <w:rFonts w:hint="eastAsia" w:ascii="Calibri" w:hAnsi="Calibri" w:eastAsia="宋体" w:cs="Calibri"/>
          <w:i w:val="0"/>
          <w:iCs w:val="0"/>
          <w:caps w:val="0"/>
          <w:spacing w:val="15"/>
          <w:sz w:val="28"/>
          <w:szCs w:val="28"/>
          <w:shd w:val="clear" w:fill="FFFFFF"/>
          <w:lang w:val="en-US" w:eastAsia="zh-CN"/>
        </w:rPr>
        <w:t>2.7</w:t>
      </w:r>
      <w:r>
        <w:rPr>
          <w:rFonts w:hint="default" w:ascii="Calibri" w:hAnsi="Calibri" w:eastAsia="宋体" w:cs="Calibri"/>
          <w:i w:val="0"/>
          <w:iCs w:val="0"/>
          <w:caps w:val="0"/>
          <w:spacing w:val="15"/>
          <w:sz w:val="28"/>
          <w:szCs w:val="28"/>
          <w:shd w:val="clear" w:fill="FFFFFF"/>
        </w:rPr>
        <w:t>.7</w:t>
      </w:r>
      <w:r>
        <w:rPr>
          <w:rFonts w:hint="eastAsia" w:ascii="宋体" w:hAnsi="宋体" w:eastAsia="宋体" w:cs="宋体"/>
          <w:i w:val="0"/>
          <w:iCs w:val="0"/>
          <w:caps w:val="0"/>
          <w:spacing w:val="15"/>
          <w:sz w:val="28"/>
          <w:szCs w:val="28"/>
          <w:shd w:val="clear" w:fill="FFFFFF"/>
        </w:rPr>
        <w:t>消防控制室值班人员必须持证上岗</w:t>
      </w:r>
      <w:r>
        <w:rPr>
          <w:rFonts w:hint="eastAsia" w:cs="宋体"/>
          <w:i w:val="0"/>
          <w:iCs w:val="0"/>
          <w:caps w:val="0"/>
          <w:spacing w:val="15"/>
          <w:sz w:val="28"/>
          <w:szCs w:val="28"/>
          <w:shd w:val="clear" w:fill="FFFFFF"/>
          <w:lang w:eastAsia="zh-CN"/>
        </w:rPr>
        <w:t>（消防设施操作员</w:t>
      </w:r>
      <w:r>
        <w:rPr>
          <w:rFonts w:hint="eastAsia" w:cs="宋体"/>
          <w:i w:val="0"/>
          <w:iCs w:val="0"/>
          <w:caps w:val="0"/>
          <w:spacing w:val="15"/>
          <w:sz w:val="28"/>
          <w:szCs w:val="28"/>
          <w:shd w:val="clear" w:fill="FFFFFF"/>
          <w:lang w:val="en-US" w:eastAsia="zh-CN"/>
        </w:rPr>
        <w:t>中级</w:t>
      </w:r>
      <w:r>
        <w:rPr>
          <w:rFonts w:hint="eastAsia" w:cs="宋体"/>
          <w:i w:val="0"/>
          <w:iCs w:val="0"/>
          <w:caps w:val="0"/>
          <w:spacing w:val="15"/>
          <w:sz w:val="28"/>
          <w:szCs w:val="28"/>
          <w:shd w:val="clear" w:fill="FFFFFF"/>
          <w:lang w:eastAsia="zh-CN"/>
        </w:rPr>
        <w:t>）</w:t>
      </w:r>
      <w:r>
        <w:rPr>
          <w:rFonts w:hint="eastAsia" w:ascii="宋体" w:hAnsi="宋体" w:eastAsia="宋体" w:cs="宋体"/>
          <w:i w:val="0"/>
          <w:iCs w:val="0"/>
          <w:caps w:val="0"/>
          <w:spacing w:val="15"/>
          <w:sz w:val="28"/>
          <w:szCs w:val="28"/>
          <w:shd w:val="clear" w:fill="FFFFFF"/>
        </w:rPr>
        <w:t>。</w:t>
      </w:r>
    </w:p>
    <w:p w14:paraId="5BF8F43B">
      <w:pPr>
        <w:keepLines w:val="0"/>
        <w:pageBreakBefore w:val="0"/>
        <w:widowControl w:val="0"/>
        <w:numPr>
          <w:ilvl w:val="0"/>
          <w:numId w:val="0"/>
        </w:numPr>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p>
    <w:p w14:paraId="6BC8F690">
      <w:pPr>
        <w:keepLines w:val="0"/>
        <w:pageBreakBefore w:val="0"/>
        <w:widowControl w:val="0"/>
        <w:numPr>
          <w:ilvl w:val="0"/>
          <w:numId w:val="0"/>
        </w:numPr>
        <w:kinsoku/>
        <w:wordWrap/>
        <w:overflowPunct/>
        <w:topLinePunct w:val="0"/>
        <w:bidi w:val="0"/>
        <w:spacing w:after="0" w:line="480" w:lineRule="exact"/>
        <w:ind w:firstLine="562" w:firstLineChars="200"/>
        <w:jc w:val="both"/>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lang w:val="en-US" w:eastAsia="zh-CN"/>
        </w:rPr>
        <w:t>）服务人员要求</w:t>
      </w:r>
    </w:p>
    <w:p w14:paraId="1EFA81AE">
      <w:pPr>
        <w:keepLines w:val="0"/>
        <w:pageBreakBefore w:val="0"/>
        <w:widowControl w:val="0"/>
        <w:numPr>
          <w:ilvl w:val="0"/>
          <w:numId w:val="0"/>
        </w:numPr>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1.最低人员配置需求</w:t>
      </w:r>
    </w:p>
    <w:tbl>
      <w:tblPr>
        <w:tblStyle w:val="8"/>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810"/>
        <w:gridCol w:w="6148"/>
        <w:gridCol w:w="1277"/>
      </w:tblGrid>
      <w:tr w14:paraId="07DB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537" w:type="dxa"/>
            <w:tcBorders>
              <w:top w:val="single" w:color="auto" w:sz="4" w:space="0"/>
              <w:left w:val="single" w:color="auto" w:sz="4" w:space="0"/>
              <w:bottom w:val="single" w:color="auto" w:sz="4" w:space="0"/>
              <w:right w:val="single" w:color="auto" w:sz="4" w:space="0"/>
            </w:tcBorders>
            <w:vAlign w:val="center"/>
          </w:tcPr>
          <w:p w14:paraId="167B78F6">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b/>
                <w:bCs/>
                <w:color w:val="auto"/>
                <w:kern w:val="2"/>
                <w:sz w:val="28"/>
                <w:szCs w:val="28"/>
                <w:highlight w:val="none"/>
              </w:rPr>
            </w:pPr>
            <w:r>
              <w:rPr>
                <w:rFonts w:hint="eastAsia" w:ascii="仿宋" w:hAnsi="仿宋" w:eastAsia="仿宋" w:cs="仿宋"/>
                <w:b/>
                <w:bCs/>
                <w:color w:val="auto"/>
                <w:sz w:val="28"/>
                <w:szCs w:val="28"/>
                <w:highlight w:val="none"/>
              </w:rPr>
              <w:t>岗 位</w:t>
            </w:r>
          </w:p>
        </w:tc>
        <w:tc>
          <w:tcPr>
            <w:tcW w:w="810" w:type="dxa"/>
            <w:tcBorders>
              <w:top w:val="single" w:color="auto" w:sz="4" w:space="0"/>
              <w:left w:val="nil"/>
              <w:bottom w:val="single" w:color="auto" w:sz="4" w:space="0"/>
              <w:right w:val="single" w:color="auto" w:sz="4" w:space="0"/>
            </w:tcBorders>
            <w:vAlign w:val="center"/>
          </w:tcPr>
          <w:p w14:paraId="3148FF97">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b/>
                <w:bCs/>
                <w:color w:val="auto"/>
                <w:kern w:val="2"/>
                <w:sz w:val="28"/>
                <w:szCs w:val="28"/>
                <w:highlight w:val="none"/>
              </w:rPr>
            </w:pPr>
            <w:r>
              <w:rPr>
                <w:rFonts w:hint="eastAsia" w:ascii="仿宋" w:hAnsi="仿宋" w:eastAsia="仿宋" w:cs="仿宋"/>
                <w:b/>
                <w:bCs/>
                <w:color w:val="auto"/>
                <w:sz w:val="28"/>
                <w:szCs w:val="28"/>
                <w:highlight w:val="none"/>
              </w:rPr>
              <w:t>人数</w:t>
            </w:r>
          </w:p>
        </w:tc>
        <w:tc>
          <w:tcPr>
            <w:tcW w:w="6148" w:type="dxa"/>
            <w:tcBorders>
              <w:top w:val="single" w:color="auto" w:sz="4" w:space="0"/>
              <w:left w:val="nil"/>
              <w:bottom w:val="single" w:color="auto" w:sz="4" w:space="0"/>
              <w:right w:val="single" w:color="auto" w:sz="4" w:space="0"/>
            </w:tcBorders>
            <w:vAlign w:val="center"/>
          </w:tcPr>
          <w:p w14:paraId="40349E45">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b/>
                <w:bCs/>
                <w:color w:val="auto"/>
                <w:kern w:val="2"/>
                <w:sz w:val="28"/>
                <w:szCs w:val="28"/>
                <w:highlight w:val="none"/>
              </w:rPr>
            </w:pPr>
            <w:r>
              <w:rPr>
                <w:rFonts w:hint="eastAsia" w:ascii="仿宋" w:hAnsi="仿宋" w:eastAsia="仿宋" w:cs="仿宋"/>
                <w:b/>
                <w:bCs/>
                <w:color w:val="auto"/>
                <w:sz w:val="28"/>
                <w:szCs w:val="28"/>
                <w:highlight w:val="none"/>
              </w:rPr>
              <w:t>具体要求（身体状况、岗位要求等）</w:t>
            </w:r>
          </w:p>
        </w:tc>
        <w:tc>
          <w:tcPr>
            <w:tcW w:w="1277" w:type="dxa"/>
            <w:tcBorders>
              <w:top w:val="single" w:color="auto" w:sz="4" w:space="0"/>
              <w:left w:val="nil"/>
              <w:bottom w:val="single" w:color="auto" w:sz="4" w:space="0"/>
              <w:right w:val="single" w:color="auto" w:sz="4" w:space="0"/>
            </w:tcBorders>
            <w:vAlign w:val="center"/>
          </w:tcPr>
          <w:p w14:paraId="0C4945CD">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备注</w:t>
            </w:r>
          </w:p>
        </w:tc>
      </w:tr>
      <w:tr w14:paraId="6A4D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537" w:type="dxa"/>
            <w:tcBorders>
              <w:top w:val="single" w:color="auto" w:sz="4" w:space="0"/>
              <w:left w:val="single" w:color="auto" w:sz="4" w:space="0"/>
              <w:bottom w:val="single" w:color="auto" w:sz="4" w:space="0"/>
              <w:right w:val="single" w:color="auto" w:sz="4" w:space="0"/>
            </w:tcBorders>
            <w:vAlign w:val="center"/>
          </w:tcPr>
          <w:p w14:paraId="4DF3D17B">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秩序员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含新业务楼</w:t>
            </w:r>
            <w:r>
              <w:rPr>
                <w:rFonts w:hint="eastAsia" w:ascii="仿宋" w:hAnsi="仿宋" w:eastAsia="仿宋" w:cs="仿宋"/>
                <w:color w:val="auto"/>
                <w:sz w:val="24"/>
                <w:szCs w:val="24"/>
                <w:highlight w:val="none"/>
                <w:lang w:eastAsia="zh-CN"/>
              </w:rPr>
              <w:t>）</w:t>
            </w:r>
          </w:p>
        </w:tc>
        <w:tc>
          <w:tcPr>
            <w:tcW w:w="810" w:type="dxa"/>
            <w:tcBorders>
              <w:top w:val="single" w:color="auto" w:sz="4" w:space="0"/>
              <w:left w:val="nil"/>
              <w:bottom w:val="single" w:color="auto" w:sz="4" w:space="0"/>
              <w:right w:val="single" w:color="auto" w:sz="4" w:space="0"/>
            </w:tcBorders>
            <w:vAlign w:val="center"/>
          </w:tcPr>
          <w:p w14:paraId="57497BFF">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w:t>
            </w:r>
          </w:p>
        </w:tc>
        <w:tc>
          <w:tcPr>
            <w:tcW w:w="6148" w:type="dxa"/>
            <w:tcBorders>
              <w:top w:val="single" w:color="auto" w:sz="4" w:space="0"/>
              <w:left w:val="nil"/>
              <w:bottom w:val="single" w:color="auto" w:sz="4" w:space="0"/>
              <w:right w:val="single" w:color="auto" w:sz="4" w:space="0"/>
            </w:tcBorders>
            <w:vAlign w:val="center"/>
          </w:tcPr>
          <w:p w14:paraId="3486FA3D">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①</w:t>
            </w:r>
            <w:r>
              <w:rPr>
                <w:rFonts w:hint="eastAsia" w:ascii="仿宋" w:hAnsi="仿宋" w:eastAsia="仿宋" w:cs="仿宋"/>
                <w:color w:val="auto"/>
                <w:kern w:val="2"/>
                <w:sz w:val="24"/>
                <w:szCs w:val="24"/>
                <w:highlight w:val="none"/>
                <w:lang w:val="en-US" w:eastAsia="zh-CN"/>
              </w:rPr>
              <w:t>实行</w:t>
            </w:r>
            <w:r>
              <w:rPr>
                <w:rFonts w:hint="eastAsia" w:ascii="仿宋" w:hAnsi="仿宋" w:eastAsia="仿宋" w:cs="仿宋"/>
                <w:color w:val="auto"/>
                <w:kern w:val="2"/>
                <w:sz w:val="24"/>
                <w:szCs w:val="24"/>
                <w:highlight w:val="none"/>
              </w:rPr>
              <w:t>24小时值班</w:t>
            </w:r>
            <w:r>
              <w:rPr>
                <w:rFonts w:hint="eastAsia" w:ascii="仿宋" w:hAnsi="仿宋" w:eastAsia="仿宋" w:cs="仿宋"/>
                <w:color w:val="auto"/>
                <w:kern w:val="2"/>
                <w:sz w:val="24"/>
                <w:szCs w:val="24"/>
                <w:highlight w:val="none"/>
                <w:lang w:val="en-US" w:eastAsia="zh-CN"/>
              </w:rPr>
              <w:t>制</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每四小时巡查一次，</w:t>
            </w:r>
            <w:r>
              <w:rPr>
                <w:rFonts w:hint="eastAsia" w:ascii="仿宋" w:hAnsi="仿宋" w:eastAsia="仿宋" w:cs="仿宋"/>
                <w:color w:val="auto"/>
                <w:kern w:val="2"/>
                <w:sz w:val="24"/>
                <w:szCs w:val="24"/>
                <w:highlight w:val="none"/>
              </w:rPr>
              <w:t>并有详细完整的交接班记录、做好出入识别、对来访人员进行身份验证、登记，杜绝闲杂人员进入，保持大楼门口道路畅通，车辆停放有序。</w:t>
            </w:r>
          </w:p>
          <w:p w14:paraId="09281065">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②夜间定时巡查，对物业服务区内进行必要的安全检查对报警故障及其他有关设施损坏要及时报告，并做好记录。</w:t>
            </w:r>
          </w:p>
          <w:p w14:paraId="13FFC696">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③严格执行消防操作规程，定期进行消防演习，保证消防通道畅通，消防器材按时更换，确保可随时启用；定期检查消防设施，发现问题及时报告。</w:t>
            </w:r>
          </w:p>
          <w:p w14:paraId="6CE94161">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④防盗、防火等报警监控设备做好安全防范和日常巡查工作，防聚众闹事，防各种破坏活动，防止任何影响工作秩序的行为，及时发现和处理各种安全与事故隐患。</w:t>
            </w:r>
          </w:p>
          <w:p w14:paraId="4FF09161">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⑤停车场车辆合理停放及管理；往来人员车辆登记、合理停放及安全管理；按要求设立指示牌和地标，对进出车辆进行管理和疏导，对物业服务区内发生的车辆事故及交通设施损坏及时保护现场，妥善处理并报告，协助服务单位做好善后处理工作。</w:t>
            </w:r>
          </w:p>
        </w:tc>
        <w:tc>
          <w:tcPr>
            <w:tcW w:w="1277" w:type="dxa"/>
            <w:vMerge w:val="restart"/>
            <w:tcBorders>
              <w:left w:val="nil"/>
              <w:right w:val="single" w:color="auto" w:sz="4" w:space="0"/>
            </w:tcBorders>
            <w:vAlign w:val="center"/>
          </w:tcPr>
          <w:p w14:paraId="394200A0">
            <w:pPr>
              <w:keepNext w:val="0"/>
              <w:keepLines w:val="0"/>
              <w:widowControl/>
              <w:suppressLineNumbers w:val="0"/>
              <w:spacing w:line="360" w:lineRule="auto"/>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秩序员：男性，50周岁以下，身体健康，有相关工作经验。</w:t>
            </w:r>
          </w:p>
          <w:p w14:paraId="5DED6DA6">
            <w:pPr>
              <w:keepLines w:val="0"/>
              <w:pageBreakBefore w:val="0"/>
              <w:widowControl/>
              <w:kinsoku/>
              <w:wordWrap/>
              <w:overflowPunct/>
              <w:topLinePunct w:val="0"/>
              <w:bidi w:val="0"/>
              <w:spacing w:after="0" w:line="360" w:lineRule="auto"/>
              <w:jc w:val="center"/>
              <w:textAlignment w:val="center"/>
              <w:rPr>
                <w:rFonts w:hint="eastAsia" w:ascii="仿宋" w:hAnsi="仿宋" w:eastAsia="仿宋" w:cs="仿宋"/>
                <w:color w:val="auto"/>
                <w:kern w:val="2"/>
                <w:sz w:val="24"/>
                <w:szCs w:val="24"/>
                <w:highlight w:val="none"/>
              </w:rPr>
            </w:pPr>
            <w:r>
              <w:rPr>
                <w:rFonts w:hint="eastAsia" w:ascii="仿宋" w:hAnsi="仿宋" w:eastAsia="仿宋" w:cs="仿宋"/>
                <w:i w:val="0"/>
                <w:iCs w:val="0"/>
                <w:snapToGrid w:val="0"/>
                <w:color w:val="auto"/>
                <w:kern w:val="0"/>
                <w:sz w:val="24"/>
                <w:szCs w:val="24"/>
                <w:highlight w:val="none"/>
                <w:u w:val="none"/>
                <w:lang w:val="en-US" w:eastAsia="zh-CN" w:bidi="ar"/>
              </w:rPr>
              <w:t>保洁员：女性，55周岁以下，身体健康，有相关工作经验</w:t>
            </w:r>
          </w:p>
        </w:tc>
      </w:tr>
      <w:tr w14:paraId="456A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0" w:hRule="atLeast"/>
          <w:jc w:val="center"/>
        </w:trPr>
        <w:tc>
          <w:tcPr>
            <w:tcW w:w="1537" w:type="dxa"/>
            <w:tcBorders>
              <w:top w:val="single" w:color="auto" w:sz="4" w:space="0"/>
              <w:left w:val="single" w:color="auto" w:sz="4" w:space="0"/>
              <w:bottom w:val="single" w:color="auto" w:sz="4" w:space="0"/>
              <w:right w:val="single" w:color="auto" w:sz="4" w:space="0"/>
            </w:tcBorders>
            <w:vAlign w:val="center"/>
          </w:tcPr>
          <w:p w14:paraId="5D4F9DCF">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保洁员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含新业务楼</w:t>
            </w:r>
            <w:r>
              <w:rPr>
                <w:rFonts w:hint="eastAsia" w:ascii="仿宋" w:hAnsi="仿宋" w:eastAsia="仿宋" w:cs="仿宋"/>
                <w:color w:val="auto"/>
                <w:sz w:val="28"/>
                <w:szCs w:val="28"/>
                <w:highlight w:val="none"/>
                <w:lang w:eastAsia="zh-CN"/>
              </w:rPr>
              <w:t>）</w:t>
            </w:r>
          </w:p>
        </w:tc>
        <w:tc>
          <w:tcPr>
            <w:tcW w:w="810" w:type="dxa"/>
            <w:tcBorders>
              <w:top w:val="single" w:color="auto" w:sz="4" w:space="0"/>
              <w:left w:val="nil"/>
              <w:bottom w:val="single" w:color="auto" w:sz="4" w:space="0"/>
              <w:right w:val="single" w:color="auto" w:sz="4" w:space="0"/>
            </w:tcBorders>
            <w:vAlign w:val="center"/>
          </w:tcPr>
          <w:p w14:paraId="05978BEB">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w:t>
            </w:r>
          </w:p>
        </w:tc>
        <w:tc>
          <w:tcPr>
            <w:tcW w:w="6148" w:type="dxa"/>
            <w:tcBorders>
              <w:top w:val="single" w:color="auto" w:sz="4" w:space="0"/>
              <w:left w:val="nil"/>
              <w:bottom w:val="single" w:color="auto" w:sz="4" w:space="0"/>
              <w:right w:val="single" w:color="auto" w:sz="4" w:space="0"/>
            </w:tcBorders>
            <w:vAlign w:val="center"/>
          </w:tcPr>
          <w:p w14:paraId="5ED81AA3">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①负责</w:t>
            </w:r>
            <w:r>
              <w:rPr>
                <w:rFonts w:hint="eastAsia" w:ascii="仿宋" w:hAnsi="仿宋" w:eastAsia="仿宋" w:cs="仿宋"/>
                <w:color w:val="auto"/>
                <w:kern w:val="2"/>
                <w:sz w:val="28"/>
                <w:szCs w:val="28"/>
                <w:highlight w:val="none"/>
                <w:lang w:val="en-US" w:eastAsia="zh-CN"/>
              </w:rPr>
              <w:t>大楼</w:t>
            </w:r>
            <w:r>
              <w:rPr>
                <w:rFonts w:hint="eastAsia" w:ascii="仿宋" w:hAnsi="仿宋" w:eastAsia="仿宋" w:cs="仿宋"/>
                <w:color w:val="auto"/>
                <w:kern w:val="2"/>
                <w:sz w:val="28"/>
                <w:szCs w:val="28"/>
                <w:highlight w:val="none"/>
              </w:rPr>
              <w:t>及所属管辖区域环境卫生巡检、防疫消杀工作保洁，设定垃圾集中地点，每日将服务范围内的垃圾归集到垃圾站，对垃圾站、箱、道、桶及垃圾进行管理，对垃圾每天进行清除、外运，做到垃圾日产日清。</w:t>
            </w:r>
          </w:p>
          <w:p w14:paraId="25E90FA9">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②负责</w:t>
            </w:r>
            <w:r>
              <w:rPr>
                <w:rFonts w:hint="eastAsia" w:ascii="仿宋" w:hAnsi="仿宋" w:eastAsia="仿宋" w:cs="仿宋"/>
                <w:color w:val="auto"/>
                <w:kern w:val="2"/>
                <w:sz w:val="28"/>
                <w:szCs w:val="28"/>
                <w:highlight w:val="none"/>
                <w:lang w:val="en-US" w:eastAsia="zh-CN"/>
              </w:rPr>
              <w:t>服务</w:t>
            </w:r>
            <w:r>
              <w:rPr>
                <w:rFonts w:hint="eastAsia" w:ascii="仿宋" w:hAnsi="仿宋" w:eastAsia="仿宋" w:cs="仿宋"/>
                <w:color w:val="auto"/>
                <w:kern w:val="2"/>
                <w:sz w:val="28"/>
                <w:szCs w:val="28"/>
                <w:highlight w:val="none"/>
              </w:rPr>
              <w:t>区域</w:t>
            </w:r>
            <w:r>
              <w:rPr>
                <w:rFonts w:hint="eastAsia" w:ascii="仿宋" w:hAnsi="仿宋" w:eastAsia="仿宋" w:cs="仿宋"/>
                <w:color w:val="auto"/>
                <w:kern w:val="2"/>
                <w:sz w:val="28"/>
                <w:szCs w:val="28"/>
                <w:highlight w:val="none"/>
                <w:lang w:val="en-US" w:eastAsia="zh-CN"/>
              </w:rPr>
              <w:t>内的所有</w:t>
            </w:r>
            <w:r>
              <w:rPr>
                <w:rFonts w:hint="eastAsia" w:ascii="仿宋" w:hAnsi="仿宋" w:eastAsia="仿宋" w:cs="仿宋"/>
                <w:color w:val="auto"/>
                <w:kern w:val="2"/>
                <w:sz w:val="28"/>
                <w:szCs w:val="28"/>
                <w:highlight w:val="none"/>
              </w:rPr>
              <w:t>卫生保洁，每日</w:t>
            </w: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rPr>
              <w:t>:30-1</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0，13：30-17：30各保洁对服务范围内的区域进行清扫，17；30-18;00安排一名保洁人员值班巡检，保洁工作时间为每天不少于8小时，休息日保证值班人员。如遇抗台、抗震等特殊情况，24小时到场服务。做到服务范围内无废弃杂物。</w:t>
            </w:r>
          </w:p>
          <w:p w14:paraId="678DF161">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③在雨、雪天气应及时对物业服务区内主路、干路积水、积雪进行清扫。</w:t>
            </w:r>
          </w:p>
          <w:p w14:paraId="7B67BD03">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④发生突发公共卫生事件时，应迅速组织人员对物业服务区内共用设施设备进行通风、清洗和消毒，保持正常良好的生活秩序。</w:t>
            </w:r>
          </w:p>
          <w:p w14:paraId="2DE5425D">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⑤各类公共照明、消防设施每月至少保洁一次。</w:t>
            </w:r>
          </w:p>
          <w:p w14:paraId="6F675DAC">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⑥完成采购人交办的其他临时工作。</w:t>
            </w:r>
          </w:p>
        </w:tc>
        <w:tc>
          <w:tcPr>
            <w:tcW w:w="1277" w:type="dxa"/>
            <w:vMerge w:val="continue"/>
            <w:tcBorders>
              <w:left w:val="nil"/>
              <w:right w:val="single" w:color="auto" w:sz="4" w:space="0"/>
            </w:tcBorders>
            <w:vAlign w:val="center"/>
          </w:tcPr>
          <w:p w14:paraId="126A1296">
            <w:pPr>
              <w:keepLines w:val="0"/>
              <w:pageBreakBefore w:val="0"/>
              <w:widowControl w:val="0"/>
              <w:kinsoku/>
              <w:wordWrap/>
              <w:overflowPunct/>
              <w:topLinePunct w:val="0"/>
              <w:bidi w:val="0"/>
              <w:spacing w:after="0" w:line="520" w:lineRule="exact"/>
              <w:jc w:val="center"/>
              <w:textAlignment w:val="auto"/>
              <w:rPr>
                <w:rFonts w:hint="eastAsia" w:ascii="仿宋" w:hAnsi="仿宋" w:eastAsia="仿宋" w:cs="仿宋"/>
                <w:color w:val="auto"/>
                <w:kern w:val="2"/>
                <w:sz w:val="28"/>
                <w:szCs w:val="28"/>
                <w:highlight w:val="none"/>
              </w:rPr>
            </w:pPr>
          </w:p>
        </w:tc>
      </w:tr>
      <w:tr w14:paraId="2190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537" w:type="dxa"/>
            <w:tcBorders>
              <w:top w:val="single" w:color="auto" w:sz="4" w:space="0"/>
              <w:left w:val="single" w:color="auto" w:sz="4" w:space="0"/>
              <w:bottom w:val="single" w:color="auto" w:sz="4" w:space="0"/>
              <w:right w:val="single" w:color="auto" w:sz="4" w:space="0"/>
            </w:tcBorders>
            <w:vAlign w:val="center"/>
          </w:tcPr>
          <w:p w14:paraId="52C6A982">
            <w:pPr>
              <w:keepLines w:val="0"/>
              <w:pageBreakBefore w:val="0"/>
              <w:widowControl w:val="0"/>
              <w:kinsoku/>
              <w:wordWrap/>
              <w:overflowPunct/>
              <w:topLinePunct w:val="0"/>
              <w:bidi w:val="0"/>
              <w:spacing w:after="0"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消防值班（新大楼）</w:t>
            </w:r>
          </w:p>
        </w:tc>
        <w:tc>
          <w:tcPr>
            <w:tcW w:w="810" w:type="dxa"/>
            <w:tcBorders>
              <w:top w:val="single" w:color="auto" w:sz="4" w:space="0"/>
              <w:left w:val="nil"/>
              <w:bottom w:val="single" w:color="auto" w:sz="4" w:space="0"/>
              <w:right w:val="single" w:color="auto" w:sz="4" w:space="0"/>
            </w:tcBorders>
            <w:vAlign w:val="center"/>
          </w:tcPr>
          <w:p w14:paraId="2BA09310">
            <w:pPr>
              <w:keepLines w:val="0"/>
              <w:pageBreakBefore w:val="0"/>
              <w:widowControl w:val="0"/>
              <w:kinsoku/>
              <w:wordWrap/>
              <w:overflowPunct/>
              <w:topLinePunct w:val="0"/>
              <w:bidi w:val="0"/>
              <w:spacing w:after="0" w:line="520" w:lineRule="exact"/>
              <w:jc w:val="center"/>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w:t>
            </w:r>
          </w:p>
        </w:tc>
        <w:tc>
          <w:tcPr>
            <w:tcW w:w="6148" w:type="dxa"/>
            <w:tcBorders>
              <w:top w:val="single" w:color="auto" w:sz="4" w:space="0"/>
              <w:left w:val="nil"/>
              <w:bottom w:val="single" w:color="auto" w:sz="4" w:space="0"/>
              <w:right w:val="single" w:color="auto" w:sz="4" w:space="0"/>
            </w:tcBorders>
            <w:vAlign w:val="center"/>
          </w:tcPr>
          <w:p w14:paraId="082CA182">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rPr>
              <w:t>①严禁脱岗、睡岗、酒后上岗</w:t>
            </w:r>
            <w:r>
              <w:rPr>
                <w:rFonts w:hint="eastAsia" w:ascii="仿宋" w:hAnsi="仿宋" w:eastAsia="仿宋" w:cs="仿宋"/>
                <w:color w:val="auto"/>
                <w:kern w:val="2"/>
                <w:sz w:val="28"/>
                <w:szCs w:val="28"/>
                <w:highlight w:val="none"/>
                <w:lang w:eastAsia="zh-CN"/>
              </w:rPr>
              <w:t>。</w:t>
            </w:r>
          </w:p>
          <w:p w14:paraId="0ADE9218">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②值班人员需持证上岗（</w:t>
            </w:r>
            <w:r>
              <w:rPr>
                <w:rFonts w:hint="eastAsia" w:ascii="仿宋" w:hAnsi="仿宋" w:eastAsia="仿宋" w:cs="仿宋"/>
                <w:color w:val="auto"/>
                <w:kern w:val="2"/>
                <w:sz w:val="28"/>
                <w:szCs w:val="28"/>
                <w:highlight w:val="none"/>
                <w:lang w:val="en-US" w:eastAsia="zh-CN"/>
              </w:rPr>
              <w:t>消防设施操作员中级</w:t>
            </w:r>
            <w:r>
              <w:rPr>
                <w:rFonts w:hint="eastAsia" w:ascii="仿宋" w:hAnsi="仿宋" w:eastAsia="仿宋" w:cs="仿宋"/>
                <w:color w:val="auto"/>
                <w:kern w:val="2"/>
                <w:sz w:val="28"/>
                <w:szCs w:val="28"/>
                <w:highlight w:val="none"/>
              </w:rPr>
              <w:t>），仪容整洁，用语文明。</w:t>
            </w:r>
          </w:p>
          <w:p w14:paraId="263FBD0B">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③监控设备：专人操作，严禁随意更改监控参数、删除录像；发现画面模糊、设备故障，立即记录并报修，期间安排人员现场巡查。</w:t>
            </w:r>
          </w:p>
          <w:p w14:paraId="7797E665">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④</w:t>
            </w:r>
            <w:r>
              <w:rPr>
                <w:rFonts w:hint="eastAsia" w:ascii="仿宋" w:hAnsi="仿宋" w:eastAsia="仿宋" w:cs="仿宋"/>
                <w:color w:val="auto"/>
                <w:kern w:val="2"/>
                <w:sz w:val="28"/>
                <w:szCs w:val="28"/>
                <w:highlight w:val="none"/>
                <w:lang w:val="en-US" w:eastAsia="zh-CN"/>
              </w:rPr>
              <w:t xml:space="preserve">消防设备：熟练使用消控室各类设备，会判断故障及排查隐患。严禁擅自更改火灾自动报警系统程序及参数 </w:t>
            </w:r>
            <w:r>
              <w:rPr>
                <w:rFonts w:hint="eastAsia" w:ascii="仿宋" w:hAnsi="仿宋" w:eastAsia="仿宋" w:cs="仿宋"/>
                <w:color w:val="auto"/>
                <w:kern w:val="2"/>
                <w:sz w:val="28"/>
                <w:szCs w:val="28"/>
                <w:highlight w:val="none"/>
              </w:rPr>
              <w:t>。</w:t>
            </w:r>
          </w:p>
          <w:p w14:paraId="4F49E489">
            <w:pPr>
              <w:keepLines w:val="0"/>
              <w:pageBreakBefore w:val="0"/>
              <w:widowControl w:val="0"/>
              <w:kinsoku/>
              <w:wordWrap/>
              <w:overflowPunct/>
              <w:topLinePunct w:val="0"/>
              <w:bidi w:val="0"/>
              <w:spacing w:after="0" w:line="520" w:lineRule="exact"/>
              <w:jc w:val="left"/>
              <w:textAlignment w:val="auto"/>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rPr>
              <w:t>⑤每日检查监控、对讲机、道闸、报警设备的运行状态，做好设备巡检记录</w:t>
            </w:r>
            <w:r>
              <w:rPr>
                <w:rFonts w:hint="eastAsia" w:ascii="仿宋" w:hAnsi="仿宋" w:eastAsia="仿宋" w:cs="仿宋"/>
                <w:color w:val="auto"/>
                <w:kern w:val="2"/>
                <w:sz w:val="28"/>
                <w:szCs w:val="28"/>
                <w:highlight w:val="none"/>
                <w:lang w:eastAsia="zh-CN"/>
              </w:rPr>
              <w:t>。</w:t>
            </w:r>
          </w:p>
        </w:tc>
        <w:tc>
          <w:tcPr>
            <w:tcW w:w="1277" w:type="dxa"/>
            <w:tcBorders>
              <w:left w:val="nil"/>
              <w:right w:val="single" w:color="auto" w:sz="4" w:space="0"/>
            </w:tcBorders>
            <w:vAlign w:val="center"/>
          </w:tcPr>
          <w:p w14:paraId="535592BA">
            <w:pPr>
              <w:keepNext w:val="0"/>
              <w:keepLines w:val="0"/>
              <w:widowControl/>
              <w:suppressLineNumbers w:val="0"/>
              <w:spacing w:line="360" w:lineRule="auto"/>
              <w:jc w:val="center"/>
              <w:textAlignment w:val="center"/>
              <w:rPr>
                <w:rFonts w:hint="eastAsia" w:ascii="仿宋" w:hAnsi="仿宋" w:eastAsia="仿宋" w:cs="仿宋"/>
                <w:color w:val="auto"/>
                <w:kern w:val="2"/>
                <w:sz w:val="28"/>
                <w:szCs w:val="28"/>
                <w:highlight w:val="none"/>
              </w:rPr>
            </w:pPr>
            <w:r>
              <w:rPr>
                <w:rFonts w:hint="eastAsia" w:ascii="仿宋" w:hAnsi="仿宋" w:eastAsia="仿宋" w:cs="仿宋"/>
                <w:i w:val="0"/>
                <w:iCs w:val="0"/>
                <w:snapToGrid w:val="0"/>
                <w:color w:val="auto"/>
                <w:kern w:val="0"/>
                <w:sz w:val="28"/>
                <w:szCs w:val="28"/>
                <w:highlight w:val="none"/>
                <w:u w:val="none"/>
                <w:lang w:val="en-US" w:eastAsia="zh-CN" w:bidi="ar"/>
              </w:rPr>
              <w:t>男性，</w:t>
            </w:r>
            <w:r>
              <w:rPr>
                <w:rFonts w:hint="eastAsia" w:ascii="仿宋" w:hAnsi="仿宋" w:eastAsia="仿宋" w:cs="仿宋"/>
                <w:i w:val="0"/>
                <w:iCs w:val="0"/>
                <w:snapToGrid w:val="0"/>
                <w:color w:val="auto"/>
                <w:kern w:val="0"/>
                <w:sz w:val="28"/>
                <w:szCs w:val="28"/>
                <w:highlight w:val="none"/>
                <w:u w:val="none"/>
                <w:lang w:val="en-US" w:eastAsia="zh-CN" w:bidi="ar"/>
              </w:rPr>
              <w:t>50</w:t>
            </w:r>
            <w:r>
              <w:rPr>
                <w:rFonts w:hint="eastAsia" w:ascii="仿宋" w:hAnsi="仿宋" w:eastAsia="仿宋" w:cs="仿宋"/>
                <w:i w:val="0"/>
                <w:iCs w:val="0"/>
                <w:snapToGrid w:val="0"/>
                <w:color w:val="auto"/>
                <w:kern w:val="0"/>
                <w:sz w:val="28"/>
                <w:szCs w:val="28"/>
                <w:highlight w:val="none"/>
                <w:u w:val="none"/>
                <w:lang w:val="en-US" w:eastAsia="zh-CN" w:bidi="ar"/>
              </w:rPr>
              <w:t>周岁以下</w:t>
            </w:r>
            <w:r>
              <w:rPr>
                <w:rFonts w:hint="eastAsia" w:ascii="仿宋" w:hAnsi="仿宋" w:eastAsia="仿宋" w:cs="仿宋"/>
                <w:i w:val="0"/>
                <w:iCs w:val="0"/>
                <w:snapToGrid w:val="0"/>
                <w:color w:val="auto"/>
                <w:kern w:val="0"/>
                <w:sz w:val="28"/>
                <w:szCs w:val="28"/>
                <w:highlight w:val="none"/>
                <w:u w:val="none"/>
                <w:lang w:val="en-US" w:eastAsia="zh-CN" w:bidi="ar"/>
              </w:rPr>
              <w:t>，身体健康，有相关工作经验</w:t>
            </w:r>
          </w:p>
        </w:tc>
      </w:tr>
    </w:tbl>
    <w:p w14:paraId="5EF33D47">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2. </w:t>
      </w:r>
      <w:r>
        <w:rPr>
          <w:rFonts w:hint="eastAsia" w:ascii="仿宋_GB2312" w:hAnsi="仿宋_GB2312" w:eastAsia="仿宋_GB2312" w:cs="仿宋_GB2312"/>
          <w:color w:val="auto"/>
          <w:sz w:val="28"/>
          <w:szCs w:val="28"/>
          <w:highlight w:val="none"/>
        </w:rPr>
        <w:t>投标人根据“最低人员配置需求”要求配置，但各岗位人员的数量必须满足配置表的要求，不得低于配置表的要求，总人数不得低于配置表的要求。</w:t>
      </w:r>
    </w:p>
    <w:p w14:paraId="69C9A9EB">
      <w:pPr>
        <w:keepLines w:val="0"/>
        <w:pageBreakBefore w:val="0"/>
        <w:widowControl w:val="0"/>
        <w:numPr>
          <w:ilvl w:val="0"/>
          <w:numId w:val="0"/>
        </w:numPr>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3. </w:t>
      </w:r>
      <w:r>
        <w:rPr>
          <w:rFonts w:hint="eastAsia" w:ascii="仿宋_GB2312" w:hAnsi="仿宋_GB2312" w:eastAsia="仿宋_GB2312" w:cs="仿宋_GB2312"/>
          <w:color w:val="auto"/>
          <w:sz w:val="28"/>
          <w:szCs w:val="28"/>
          <w:highlight w:val="none"/>
        </w:rPr>
        <w:t>物业公司必须依照《中华人民共和国劳动合同法》、《社会保险法》、《社会保险费征缴条例》等法律法规和所在地区劳动用工规定进行合法用工</w:t>
      </w:r>
      <w:r>
        <w:rPr>
          <w:rFonts w:hint="eastAsia" w:ascii="仿宋_GB2312" w:hAnsi="仿宋_GB2312" w:eastAsia="仿宋_GB2312" w:cs="仿宋_GB2312"/>
          <w:color w:val="auto"/>
          <w:sz w:val="28"/>
          <w:szCs w:val="28"/>
          <w:highlight w:val="none"/>
          <w:lang w:val="en-US" w:eastAsia="zh-CN"/>
        </w:rPr>
        <w:t>与</w:t>
      </w:r>
      <w:r>
        <w:rPr>
          <w:rFonts w:hint="eastAsia" w:ascii="仿宋_GB2312" w:hAnsi="仿宋_GB2312" w:eastAsia="仿宋_GB2312" w:cs="仿宋_GB2312"/>
          <w:color w:val="auto"/>
          <w:sz w:val="28"/>
          <w:szCs w:val="28"/>
          <w:highlight w:val="none"/>
        </w:rPr>
        <w:t>本项目所有服务人员签订劳动合同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非劳务派遣合同）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本项目所有服务人员不得兼职，严格执行一人一岗。投标人必须为</w:t>
      </w: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所有服务人员依法缴纳</w:t>
      </w:r>
      <w:r>
        <w:rPr>
          <w:rFonts w:hint="eastAsia" w:ascii="仿宋_GB2312" w:hAnsi="仿宋_GB2312" w:eastAsia="仿宋_GB2312" w:cs="仿宋_GB2312"/>
          <w:color w:val="auto"/>
          <w:sz w:val="28"/>
          <w:szCs w:val="28"/>
          <w:highlight w:val="none"/>
          <w:lang w:val="en-US" w:eastAsia="zh-CN"/>
        </w:rPr>
        <w:t>全年</w:t>
      </w:r>
      <w:r>
        <w:rPr>
          <w:rFonts w:hint="eastAsia" w:ascii="仿宋_GB2312" w:hAnsi="仿宋_GB2312" w:eastAsia="仿宋_GB2312" w:cs="仿宋_GB2312"/>
          <w:color w:val="auto"/>
          <w:sz w:val="28"/>
          <w:szCs w:val="28"/>
          <w:highlight w:val="none"/>
        </w:rPr>
        <w:t>社会保险（含养老、工伤、失业和医疗(基本医疗、生育、大病)）</w:t>
      </w:r>
      <w:r>
        <w:rPr>
          <w:rFonts w:hint="eastAsia" w:ascii="仿宋_GB2312" w:hAnsi="仿宋_GB2312" w:eastAsia="仿宋_GB2312" w:cs="仿宋_GB2312"/>
          <w:color w:val="auto"/>
          <w:sz w:val="28"/>
          <w:szCs w:val="28"/>
          <w:highlight w:val="none"/>
          <w:lang w:eastAsia="zh-CN"/>
        </w:rPr>
        <w:t>。</w:t>
      </w:r>
    </w:p>
    <w:p w14:paraId="6DEDF319">
      <w:pPr>
        <w:keepLines w:val="0"/>
        <w:pageBreakBefore w:val="0"/>
        <w:widowControl w:val="0"/>
        <w:numPr>
          <w:ilvl w:val="0"/>
          <w:numId w:val="0"/>
        </w:numPr>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4. </w:t>
      </w:r>
      <w:r>
        <w:rPr>
          <w:rFonts w:hint="eastAsia" w:ascii="仿宋_GB2312" w:hAnsi="仿宋_GB2312" w:eastAsia="仿宋_GB2312" w:cs="仿宋_GB2312"/>
          <w:color w:val="auto"/>
          <w:sz w:val="28"/>
          <w:szCs w:val="28"/>
          <w:highlight w:val="none"/>
        </w:rPr>
        <w:t>所有</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人员</w:t>
      </w:r>
      <w:r>
        <w:rPr>
          <w:rFonts w:hint="eastAsia" w:ascii="仿宋_GB2312" w:hAnsi="仿宋_GB2312" w:eastAsia="仿宋_GB2312" w:cs="仿宋_GB2312"/>
          <w:color w:val="auto"/>
          <w:sz w:val="28"/>
          <w:szCs w:val="28"/>
          <w:highlight w:val="none"/>
          <w:lang w:val="en-US" w:eastAsia="zh-CN"/>
        </w:rPr>
        <w:t>身体</w:t>
      </w:r>
      <w:r>
        <w:rPr>
          <w:rFonts w:hint="eastAsia" w:ascii="仿宋_GB2312" w:hAnsi="仿宋_GB2312" w:eastAsia="仿宋_GB2312" w:cs="仿宋_GB2312"/>
          <w:color w:val="auto"/>
          <w:sz w:val="28"/>
          <w:szCs w:val="28"/>
          <w:highlight w:val="none"/>
        </w:rPr>
        <w:t>健康，无重大疾病史和传染病史，无犯罪记录</w:t>
      </w:r>
      <w:r>
        <w:rPr>
          <w:rFonts w:hint="eastAsia" w:ascii="仿宋_GB2312" w:hAnsi="仿宋_GB2312" w:eastAsia="仿宋_GB2312" w:cs="仿宋_GB2312"/>
          <w:color w:val="auto"/>
          <w:sz w:val="28"/>
          <w:szCs w:val="28"/>
          <w:highlight w:val="none"/>
          <w:lang w:eastAsia="zh-CN"/>
        </w:rPr>
        <w:t>。</w:t>
      </w:r>
    </w:p>
    <w:p w14:paraId="038309D4">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5. </w:t>
      </w:r>
      <w:r>
        <w:rPr>
          <w:rFonts w:hint="eastAsia" w:ascii="仿宋_GB2312" w:hAnsi="仿宋_GB2312" w:eastAsia="仿宋_GB2312" w:cs="仿宋_GB2312"/>
          <w:color w:val="auto"/>
          <w:sz w:val="28"/>
          <w:szCs w:val="28"/>
          <w:highlight w:val="none"/>
        </w:rPr>
        <w:t>国家有准入要求的岗位人员，必须按国家要求配置满足相关资格要求的人员，相关资格考试、培训等费用由</w:t>
      </w:r>
      <w:r>
        <w:rPr>
          <w:rFonts w:hint="eastAsia" w:ascii="仿宋_GB2312" w:hAnsi="仿宋_GB2312" w:eastAsia="仿宋_GB2312" w:cs="仿宋_GB2312"/>
          <w:color w:val="auto"/>
          <w:sz w:val="28"/>
          <w:szCs w:val="28"/>
          <w:highlight w:val="none"/>
          <w:lang w:val="en-US" w:eastAsia="zh-CN"/>
        </w:rPr>
        <w:t>中标供应商</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val="en-US" w:eastAsia="zh-CN"/>
        </w:rPr>
        <w:t>中标供应商</w:t>
      </w:r>
      <w:r>
        <w:rPr>
          <w:rFonts w:hint="eastAsia" w:ascii="仿宋_GB2312" w:hAnsi="仿宋_GB2312" w:eastAsia="仿宋_GB2312" w:cs="仿宋_GB2312"/>
          <w:color w:val="auto"/>
          <w:sz w:val="28"/>
          <w:szCs w:val="28"/>
          <w:highlight w:val="none"/>
        </w:rPr>
        <w:t>配置的服务人员不符合国家要求的资格要求，造成采购人被相关管理部门处罚的，由</w:t>
      </w:r>
      <w:r>
        <w:rPr>
          <w:rFonts w:hint="eastAsia" w:ascii="仿宋_GB2312" w:hAnsi="仿宋_GB2312" w:eastAsia="仿宋_GB2312" w:cs="仿宋_GB2312"/>
          <w:color w:val="auto"/>
          <w:sz w:val="28"/>
          <w:szCs w:val="28"/>
          <w:highlight w:val="none"/>
          <w:lang w:val="en-US" w:eastAsia="zh-CN"/>
        </w:rPr>
        <w:t>中标供应商</w:t>
      </w:r>
      <w:r>
        <w:rPr>
          <w:rFonts w:hint="eastAsia" w:ascii="仿宋_GB2312" w:hAnsi="仿宋_GB2312" w:eastAsia="仿宋_GB2312" w:cs="仿宋_GB2312"/>
          <w:color w:val="auto"/>
          <w:sz w:val="28"/>
          <w:szCs w:val="28"/>
          <w:highlight w:val="none"/>
        </w:rPr>
        <w:t>赔偿采购人的一切损失，并接受采购人的处罚。</w:t>
      </w:r>
    </w:p>
    <w:p w14:paraId="48CD0D83">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对上述《最低人员配置需求》中所涉及的证书、工作经验证明材料、岗位要求等证明材料须在中标后，在签订合同之前提交至采购人进行审查。</w:t>
      </w:r>
      <w:r>
        <w:rPr>
          <w:rFonts w:hint="eastAsia" w:ascii="仿宋_GB2312" w:hAnsi="仿宋_GB2312" w:eastAsia="仿宋_GB2312" w:cs="仿宋_GB2312"/>
          <w:color w:val="auto"/>
          <w:sz w:val="28"/>
          <w:szCs w:val="28"/>
          <w:highlight w:val="none"/>
          <w:lang w:val="en-US" w:eastAsia="zh-CN"/>
        </w:rPr>
        <w:t>中标供应商</w:t>
      </w:r>
      <w:r>
        <w:rPr>
          <w:rFonts w:hint="eastAsia" w:ascii="仿宋_GB2312" w:hAnsi="仿宋_GB2312" w:eastAsia="仿宋_GB2312" w:cs="仿宋_GB2312"/>
          <w:color w:val="auto"/>
          <w:sz w:val="28"/>
          <w:szCs w:val="28"/>
          <w:highlight w:val="none"/>
        </w:rPr>
        <w:t>完全符合投标时的承诺方可签订合同。否则，采购人有权拒绝签订合同，并上报至同级财政部门按《政府采购法》第七十七条处理。</w:t>
      </w:r>
    </w:p>
    <w:p w14:paraId="240DFEAB">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7. </w:t>
      </w:r>
      <w:r>
        <w:rPr>
          <w:rFonts w:hint="eastAsia" w:ascii="仿宋_GB2312" w:hAnsi="仿宋_GB2312" w:eastAsia="仿宋_GB2312" w:cs="仿宋_GB2312"/>
          <w:color w:val="auto"/>
          <w:sz w:val="28"/>
          <w:szCs w:val="28"/>
          <w:highlight w:val="none"/>
        </w:rPr>
        <w:t>物业公司须承诺每季度第一个月一周内（遇节假日顺延）向采购人归口职能部门提交岗位人员花名册（含姓名、身份证号码、联系电话、岗位名称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岗位证书</w:t>
      </w:r>
      <w:r>
        <w:rPr>
          <w:rFonts w:hint="eastAsia" w:ascii="仿宋_GB2312" w:hAnsi="仿宋_GB2312" w:eastAsia="仿宋_GB2312" w:cs="仿宋_GB2312"/>
          <w:color w:val="auto"/>
          <w:sz w:val="28"/>
          <w:szCs w:val="28"/>
          <w:highlight w:val="none"/>
        </w:rPr>
        <w:t>等信息）。物业公司需保持物业人员的相对稳定，如人员出现异动，应及时向采购人归口职能部门报告，离职岗位须在</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0</w:t>
      </w:r>
      <w:r>
        <w:rPr>
          <w:rFonts w:ascii="仿宋_GB2312" w:hAnsi="仿宋_GB2312" w:eastAsia="仿宋_GB2312" w:cs="仿宋_GB2312"/>
          <w:color w:val="auto"/>
          <w:sz w:val="28"/>
          <w:szCs w:val="28"/>
          <w:highlight w:val="none"/>
        </w:rPr>
        <w:t>日内补充到位</w:t>
      </w:r>
      <w:r>
        <w:rPr>
          <w:rFonts w:hint="eastAsia" w:ascii="仿宋_GB2312" w:hAnsi="仿宋_GB2312" w:eastAsia="仿宋_GB2312" w:cs="仿宋_GB2312"/>
          <w:color w:val="auto"/>
          <w:sz w:val="28"/>
          <w:szCs w:val="28"/>
          <w:highlight w:val="none"/>
        </w:rPr>
        <w:t>，服务期内更换比例不得超过本项目服务人员总数的</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en-US" w:eastAsia="zh-CN"/>
        </w:rPr>
        <w:t>主管及以上人员</w:t>
      </w:r>
      <w:r>
        <w:rPr>
          <w:rFonts w:ascii="仿宋_GB2312" w:hAnsi="仿宋_GB2312" w:eastAsia="仿宋_GB2312" w:cs="仿宋_GB2312"/>
          <w:color w:val="auto"/>
          <w:sz w:val="28"/>
          <w:szCs w:val="28"/>
          <w:highlight w:val="none"/>
        </w:rPr>
        <w:t>更换，应提前1个月以书面形式通知</w:t>
      </w:r>
      <w:r>
        <w:rPr>
          <w:rFonts w:hint="eastAsia" w:ascii="仿宋_GB2312" w:hAnsi="仿宋_GB2312" w:eastAsia="仿宋_GB2312" w:cs="仿宋_GB2312"/>
          <w:color w:val="auto"/>
          <w:sz w:val="28"/>
          <w:szCs w:val="28"/>
          <w:highlight w:val="none"/>
        </w:rPr>
        <w:t>采购人</w:t>
      </w:r>
      <w:r>
        <w:rPr>
          <w:rFonts w:ascii="仿宋_GB2312" w:hAnsi="仿宋_GB2312" w:eastAsia="仿宋_GB2312" w:cs="仿宋_GB2312"/>
          <w:color w:val="auto"/>
          <w:sz w:val="28"/>
          <w:szCs w:val="28"/>
          <w:highlight w:val="none"/>
        </w:rPr>
        <w:t>归口职能部门</w:t>
      </w:r>
      <w:r>
        <w:rPr>
          <w:rFonts w:hint="eastAsia" w:ascii="仿宋_GB2312" w:hAnsi="仿宋_GB2312" w:eastAsia="仿宋_GB2312" w:cs="仿宋_GB2312"/>
          <w:color w:val="auto"/>
          <w:sz w:val="28"/>
          <w:szCs w:val="28"/>
          <w:highlight w:val="none"/>
        </w:rPr>
        <w:t>，且更换的每人次相应在当期扣减 5000 元物业费。采购人有权不定期按投标人响应和招标文件要求对到岗人员进行核查，对不按要求派驻人员（包括数量、年龄、</w:t>
      </w:r>
      <w:r>
        <w:rPr>
          <w:rFonts w:hint="eastAsia" w:ascii="仿宋_GB2312" w:hAnsi="仿宋_GB2312" w:eastAsia="仿宋_GB2312" w:cs="仿宋_GB2312"/>
          <w:color w:val="auto"/>
          <w:sz w:val="28"/>
          <w:szCs w:val="28"/>
          <w:highlight w:val="none"/>
          <w:lang w:val="en-US" w:eastAsia="zh-CN"/>
        </w:rPr>
        <w:t>学历、</w:t>
      </w:r>
      <w:r>
        <w:rPr>
          <w:rFonts w:hint="eastAsia" w:ascii="仿宋_GB2312" w:hAnsi="仿宋_GB2312" w:eastAsia="仿宋_GB2312" w:cs="仿宋_GB2312"/>
          <w:color w:val="auto"/>
          <w:sz w:val="28"/>
          <w:szCs w:val="28"/>
          <w:highlight w:val="none"/>
        </w:rPr>
        <w:t>职业证书等）将严格依照招标文件规定扣减相应的物业服务费。采购人</w:t>
      </w:r>
      <w:r>
        <w:rPr>
          <w:rFonts w:ascii="仿宋_GB2312" w:hAnsi="仿宋_GB2312" w:eastAsia="仿宋_GB2312" w:cs="仿宋_GB2312"/>
          <w:color w:val="auto"/>
          <w:sz w:val="28"/>
          <w:szCs w:val="28"/>
          <w:highlight w:val="none"/>
        </w:rPr>
        <w:t>归口职能部门有权定期对所有物业人员进行业务培训和考核，对物业人员的不良行为进行批评教育</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若</w:t>
      </w:r>
      <w:r>
        <w:rPr>
          <w:rFonts w:hint="eastAsia" w:ascii="仿宋_GB2312" w:hAnsi="仿宋_GB2312" w:eastAsia="仿宋_GB2312" w:cs="仿宋_GB2312"/>
          <w:color w:val="auto"/>
          <w:sz w:val="28"/>
          <w:szCs w:val="28"/>
          <w:highlight w:val="none"/>
          <w:lang w:val="en-US" w:eastAsia="zh-CN"/>
        </w:rPr>
        <w:t>中标供应商</w:t>
      </w:r>
      <w:r>
        <w:rPr>
          <w:rFonts w:ascii="仿宋_GB2312" w:hAnsi="仿宋_GB2312" w:eastAsia="仿宋_GB2312" w:cs="仿宋_GB2312"/>
          <w:color w:val="auto"/>
          <w:sz w:val="28"/>
          <w:szCs w:val="28"/>
          <w:highlight w:val="none"/>
        </w:rPr>
        <w:t>指派的物业人员出现失职、违反规章制度或不符合考核要求的，</w:t>
      </w:r>
      <w:r>
        <w:rPr>
          <w:rFonts w:hint="eastAsia" w:ascii="仿宋_GB2312" w:hAnsi="仿宋_GB2312" w:eastAsia="仿宋_GB2312" w:cs="仿宋_GB2312"/>
          <w:color w:val="auto"/>
          <w:sz w:val="28"/>
          <w:szCs w:val="28"/>
          <w:highlight w:val="none"/>
        </w:rPr>
        <w:t>采购人</w:t>
      </w:r>
      <w:r>
        <w:rPr>
          <w:rFonts w:ascii="仿宋_GB2312" w:hAnsi="仿宋_GB2312" w:eastAsia="仿宋_GB2312" w:cs="仿宋_GB2312"/>
          <w:color w:val="auto"/>
          <w:sz w:val="28"/>
          <w:szCs w:val="28"/>
          <w:highlight w:val="none"/>
        </w:rPr>
        <w:t>归口职能部门有权要求</w:t>
      </w:r>
      <w:r>
        <w:rPr>
          <w:rFonts w:hint="eastAsia" w:ascii="仿宋_GB2312" w:hAnsi="仿宋_GB2312" w:eastAsia="仿宋_GB2312" w:cs="仿宋_GB2312"/>
          <w:color w:val="auto"/>
          <w:sz w:val="28"/>
          <w:szCs w:val="28"/>
          <w:highlight w:val="none"/>
          <w:lang w:val="en-US" w:eastAsia="zh-CN"/>
        </w:rPr>
        <w:t>中标供应商</w:t>
      </w:r>
      <w:r>
        <w:rPr>
          <w:rFonts w:ascii="仿宋_GB2312" w:hAnsi="仿宋_GB2312" w:eastAsia="仿宋_GB2312" w:cs="仿宋_GB2312"/>
          <w:color w:val="auto"/>
          <w:sz w:val="28"/>
          <w:szCs w:val="28"/>
          <w:highlight w:val="none"/>
        </w:rPr>
        <w:t>更换该物业人员。</w:t>
      </w:r>
      <w:r>
        <w:rPr>
          <w:rFonts w:hint="eastAsia" w:ascii="仿宋_GB2312" w:hAnsi="仿宋_GB2312" w:eastAsia="仿宋_GB2312" w:cs="仿宋_GB2312"/>
          <w:color w:val="auto"/>
          <w:sz w:val="28"/>
          <w:szCs w:val="28"/>
          <w:highlight w:val="none"/>
          <w:lang w:val="en-US" w:eastAsia="zh-CN"/>
        </w:rPr>
        <w:t>中标供应商</w:t>
      </w:r>
      <w:r>
        <w:rPr>
          <w:rFonts w:ascii="仿宋_GB2312" w:hAnsi="仿宋_GB2312" w:eastAsia="仿宋_GB2312" w:cs="仿宋_GB2312"/>
          <w:color w:val="auto"/>
          <w:sz w:val="28"/>
          <w:szCs w:val="28"/>
          <w:highlight w:val="none"/>
        </w:rPr>
        <w:t>应在接到通知后</w:t>
      </w:r>
      <w:r>
        <w:rPr>
          <w:rFonts w:hint="eastAsia" w:ascii="仿宋_GB2312" w:hAnsi="仿宋_GB2312" w:eastAsia="仿宋_GB2312" w:cs="仿宋_GB2312"/>
          <w:color w:val="auto"/>
          <w:sz w:val="28"/>
          <w:szCs w:val="28"/>
          <w:highlight w:val="none"/>
          <w:lang w:val="en-US" w:eastAsia="zh-CN"/>
        </w:rPr>
        <w:t>7</w:t>
      </w:r>
      <w:r>
        <w:rPr>
          <w:rFonts w:ascii="仿宋_GB2312" w:hAnsi="仿宋_GB2312" w:eastAsia="仿宋_GB2312" w:cs="仿宋_GB2312"/>
          <w:color w:val="auto"/>
          <w:sz w:val="28"/>
          <w:szCs w:val="28"/>
          <w:highlight w:val="none"/>
        </w:rPr>
        <w:t>个工作日内更换到位</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如不能及时更换到位的，</w:t>
      </w:r>
      <w:r>
        <w:rPr>
          <w:rFonts w:hint="eastAsia" w:ascii="仿宋_GB2312" w:hAnsi="仿宋_GB2312" w:eastAsia="仿宋_GB2312" w:cs="仿宋_GB2312"/>
          <w:color w:val="auto"/>
          <w:sz w:val="28"/>
          <w:szCs w:val="28"/>
          <w:highlight w:val="none"/>
        </w:rPr>
        <w:t>采购人有权扣减相应的服务费</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在人员数量不变</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情</w:t>
      </w:r>
      <w:r>
        <w:rPr>
          <w:rFonts w:ascii="仿宋_GB2312" w:hAnsi="仿宋_GB2312" w:eastAsia="仿宋_GB2312" w:cs="仿宋_GB2312"/>
          <w:color w:val="auto"/>
          <w:sz w:val="28"/>
          <w:szCs w:val="28"/>
          <w:highlight w:val="none"/>
        </w:rPr>
        <w:t>况下，</w:t>
      </w:r>
      <w:r>
        <w:rPr>
          <w:rFonts w:hint="eastAsia" w:ascii="仿宋_GB2312" w:hAnsi="仿宋_GB2312" w:eastAsia="仿宋_GB2312" w:cs="仿宋_GB2312"/>
          <w:color w:val="auto"/>
          <w:sz w:val="28"/>
          <w:szCs w:val="28"/>
          <w:highlight w:val="none"/>
        </w:rPr>
        <w:t>采购人</w:t>
      </w:r>
      <w:r>
        <w:rPr>
          <w:rFonts w:ascii="仿宋_GB2312" w:hAnsi="仿宋_GB2312" w:eastAsia="仿宋_GB2312" w:cs="仿宋_GB2312"/>
          <w:color w:val="auto"/>
          <w:sz w:val="28"/>
          <w:szCs w:val="28"/>
          <w:highlight w:val="none"/>
        </w:rPr>
        <w:t>归口职能部门有权对人员岗位及运行方式进行调整，</w:t>
      </w:r>
      <w:r>
        <w:rPr>
          <w:rFonts w:hint="eastAsia" w:ascii="仿宋_GB2312" w:hAnsi="仿宋_GB2312" w:eastAsia="仿宋_GB2312" w:cs="仿宋_GB2312"/>
          <w:color w:val="auto"/>
          <w:sz w:val="28"/>
          <w:szCs w:val="28"/>
          <w:highlight w:val="none"/>
          <w:lang w:val="en-US" w:eastAsia="zh-CN"/>
        </w:rPr>
        <w:t>中标供应商</w:t>
      </w:r>
      <w:r>
        <w:rPr>
          <w:rFonts w:ascii="仿宋_GB2312" w:hAnsi="仿宋_GB2312" w:eastAsia="仿宋_GB2312" w:cs="仿宋_GB2312"/>
          <w:color w:val="auto"/>
          <w:sz w:val="28"/>
          <w:szCs w:val="28"/>
          <w:highlight w:val="none"/>
        </w:rPr>
        <w:t>需严格执行</w:t>
      </w:r>
      <w:r>
        <w:rPr>
          <w:rFonts w:hint="eastAsia" w:ascii="仿宋_GB2312" w:hAnsi="仿宋_GB2312" w:eastAsia="仿宋_GB2312" w:cs="仿宋_GB2312"/>
          <w:color w:val="auto"/>
          <w:sz w:val="28"/>
          <w:szCs w:val="28"/>
          <w:highlight w:val="none"/>
        </w:rPr>
        <w:t>。</w:t>
      </w:r>
    </w:p>
    <w:p w14:paraId="6E73942B">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（五）</w:t>
      </w:r>
      <w:r>
        <w:rPr>
          <w:rFonts w:hint="eastAsia" w:ascii="仿宋_GB2312" w:hAnsi="仿宋_GB2312" w:eastAsia="仿宋_GB2312" w:cs="仿宋_GB2312"/>
          <w:b/>
          <w:bCs/>
          <w:color w:val="auto"/>
          <w:sz w:val="28"/>
          <w:szCs w:val="28"/>
          <w:highlight w:val="none"/>
          <w:lang w:val="en-US" w:eastAsia="zh-CN"/>
        </w:rPr>
        <w:t>服务耗材</w:t>
      </w:r>
    </w:p>
    <w:p w14:paraId="151B9E6E">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1.服务耗材须全新购买不可利旧。</w:t>
      </w:r>
    </w:p>
    <w:p w14:paraId="52E4D128">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所有服务涉及的耗材已包含在本项目总报价内，由中标供应商统一提供，采购人不再额外支付相关耗材费用或不再提供本项目内所涉任何耗材，中标供应商提供的服务耗材可优于采购单位要求的服务耗材配置清单。</w:t>
      </w:r>
    </w:p>
    <w:p w14:paraId="253E62DD">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 服务耗材配置清单</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893"/>
        <w:gridCol w:w="2278"/>
        <w:gridCol w:w="954"/>
        <w:gridCol w:w="1530"/>
        <w:gridCol w:w="2384"/>
      </w:tblGrid>
      <w:tr w14:paraId="786D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Align w:val="center"/>
          </w:tcPr>
          <w:p w14:paraId="65C0580C">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893" w:type="dxa"/>
            <w:vAlign w:val="center"/>
          </w:tcPr>
          <w:p w14:paraId="4A52C0C5">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区域</w:t>
            </w:r>
          </w:p>
        </w:tc>
        <w:tc>
          <w:tcPr>
            <w:tcW w:w="2278" w:type="dxa"/>
            <w:vAlign w:val="center"/>
          </w:tcPr>
          <w:p w14:paraId="03DD62D4">
            <w:pPr>
              <w:keepLines w:val="0"/>
              <w:pageBreakBefore w:val="0"/>
              <w:widowControl w:val="0"/>
              <w:kinsoku/>
              <w:wordWrap/>
              <w:overflowPunct/>
              <w:topLinePunct w:val="0"/>
              <w:bidi w:val="0"/>
              <w:spacing w:after="0" w:line="480" w:lineRule="exact"/>
              <w:jc w:val="center"/>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服务耗材名称</w:t>
            </w:r>
          </w:p>
        </w:tc>
        <w:tc>
          <w:tcPr>
            <w:tcW w:w="954" w:type="dxa"/>
            <w:vAlign w:val="center"/>
          </w:tcPr>
          <w:p w14:paraId="20064303">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1530" w:type="dxa"/>
            <w:vAlign w:val="center"/>
          </w:tcPr>
          <w:p w14:paraId="06A025CB">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w:t>
            </w:r>
          </w:p>
        </w:tc>
        <w:tc>
          <w:tcPr>
            <w:tcW w:w="2384" w:type="dxa"/>
            <w:vAlign w:val="center"/>
          </w:tcPr>
          <w:p w14:paraId="3F6107D2">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11F6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279" w:type="dxa"/>
            <w:vAlign w:val="center"/>
          </w:tcPr>
          <w:p w14:paraId="0CDB620C">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893" w:type="dxa"/>
            <w:vAlign w:val="center"/>
          </w:tcPr>
          <w:p w14:paraId="5D78F98C">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2278" w:type="dxa"/>
            <w:vAlign w:val="center"/>
          </w:tcPr>
          <w:p w14:paraId="2AC58CD3">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p>
        </w:tc>
        <w:tc>
          <w:tcPr>
            <w:tcW w:w="954" w:type="dxa"/>
            <w:vAlign w:val="center"/>
          </w:tcPr>
          <w:p w14:paraId="6B2A3101">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1530" w:type="dxa"/>
            <w:vAlign w:val="center"/>
          </w:tcPr>
          <w:p w14:paraId="1C7BADF5">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2384" w:type="dxa"/>
            <w:vAlign w:val="center"/>
          </w:tcPr>
          <w:p w14:paraId="0F8FA7E7">
            <w:pPr>
              <w:keepLines w:val="0"/>
              <w:pageBreakBefore w:val="0"/>
              <w:widowControl w:val="0"/>
              <w:kinsoku/>
              <w:wordWrap/>
              <w:overflowPunct/>
              <w:topLinePunct w:val="0"/>
              <w:bidi w:val="0"/>
              <w:spacing w:after="0" w:line="480" w:lineRule="exact"/>
              <w:jc w:val="both"/>
              <w:textAlignment w:val="auto"/>
              <w:rPr>
                <w:rFonts w:hint="eastAsia" w:ascii="仿宋_GB2312" w:hAnsi="仿宋_GB2312" w:eastAsia="仿宋_GB2312" w:cs="仿宋_GB2312"/>
                <w:color w:val="auto"/>
                <w:sz w:val="28"/>
                <w:szCs w:val="28"/>
                <w:highlight w:val="none"/>
              </w:rPr>
            </w:pPr>
          </w:p>
        </w:tc>
      </w:tr>
      <w:tr w14:paraId="53FF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Align w:val="center"/>
          </w:tcPr>
          <w:p w14:paraId="1D8CDCAF">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893" w:type="dxa"/>
            <w:vAlign w:val="center"/>
          </w:tcPr>
          <w:p w14:paraId="28F2398F">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2278" w:type="dxa"/>
            <w:vAlign w:val="center"/>
          </w:tcPr>
          <w:p w14:paraId="31577993">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954" w:type="dxa"/>
            <w:vAlign w:val="center"/>
          </w:tcPr>
          <w:p w14:paraId="37C92CFC">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1530" w:type="dxa"/>
            <w:vAlign w:val="center"/>
          </w:tcPr>
          <w:p w14:paraId="05143FE5">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2384" w:type="dxa"/>
            <w:vAlign w:val="center"/>
          </w:tcPr>
          <w:p w14:paraId="676A062F">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r>
      <w:tr w14:paraId="22E2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Align w:val="center"/>
          </w:tcPr>
          <w:p w14:paraId="0C5B9651">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893" w:type="dxa"/>
            <w:vAlign w:val="center"/>
          </w:tcPr>
          <w:p w14:paraId="422D34DF">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2278" w:type="dxa"/>
            <w:vAlign w:val="center"/>
          </w:tcPr>
          <w:p w14:paraId="72A03D0A">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954" w:type="dxa"/>
            <w:vAlign w:val="center"/>
          </w:tcPr>
          <w:p w14:paraId="5E580F78">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1530" w:type="dxa"/>
            <w:vAlign w:val="center"/>
          </w:tcPr>
          <w:p w14:paraId="27F29CB5">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c>
          <w:tcPr>
            <w:tcW w:w="2384" w:type="dxa"/>
            <w:vAlign w:val="center"/>
          </w:tcPr>
          <w:p w14:paraId="139B8199">
            <w:pPr>
              <w:keepLines w:val="0"/>
              <w:pageBreakBefore w:val="0"/>
              <w:widowControl w:val="0"/>
              <w:kinsoku/>
              <w:wordWrap/>
              <w:overflowPunct/>
              <w:topLinePunct w:val="0"/>
              <w:bidi w:val="0"/>
              <w:spacing w:after="0" w:line="480" w:lineRule="exact"/>
              <w:ind w:firstLine="560" w:firstLineChars="200"/>
              <w:jc w:val="center"/>
              <w:textAlignment w:val="auto"/>
              <w:rPr>
                <w:rFonts w:hint="eastAsia" w:ascii="仿宋_GB2312" w:hAnsi="仿宋_GB2312" w:eastAsia="仿宋_GB2312" w:cs="仿宋_GB2312"/>
                <w:color w:val="auto"/>
                <w:sz w:val="28"/>
                <w:szCs w:val="28"/>
                <w:highlight w:val="none"/>
              </w:rPr>
            </w:pPr>
          </w:p>
        </w:tc>
      </w:tr>
    </w:tbl>
    <w:p w14:paraId="79FF9BC3">
      <w:pPr>
        <w:keepLines w:val="0"/>
        <w:pageBreakBefore w:val="0"/>
        <w:widowControl w:val="0"/>
        <w:kinsoku/>
        <w:wordWrap/>
        <w:overflowPunct/>
        <w:topLinePunct w:val="0"/>
        <w:bidi w:val="0"/>
        <w:spacing w:after="0" w:line="480" w:lineRule="exact"/>
        <w:ind w:firstLine="562" w:firstLineChars="200"/>
        <w:jc w:val="both"/>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（六）机械设备</w:t>
      </w:r>
    </w:p>
    <w:p w14:paraId="519580F4">
      <w:pPr>
        <w:keepLines w:val="0"/>
        <w:pageBreakBefore w:val="0"/>
        <w:widowControl w:val="0"/>
        <w:numPr>
          <w:ilvl w:val="0"/>
          <w:numId w:val="0"/>
        </w:numPr>
        <w:kinsoku/>
        <w:wordWrap/>
        <w:overflowPunct/>
        <w:topLinePunct w:val="0"/>
        <w:bidi w:val="0"/>
        <w:spacing w:after="0" w:line="480" w:lineRule="exact"/>
        <w:ind w:firstLine="560" w:firstLineChars="200"/>
        <w:jc w:val="both"/>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1.中标供应商提供的机械设备可优于采购单位要求的机械设备配置清单。</w:t>
      </w:r>
    </w:p>
    <w:p w14:paraId="60B5560A">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2.中标供应商不能按时提供或不能完整提供投标文件中拟配置机具设备及耗材，则采购人有权拒绝与中标供应商签订合同。</w:t>
      </w:r>
    </w:p>
    <w:p w14:paraId="502DFE07">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3.机械设备配置清单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934"/>
        <w:gridCol w:w="2250"/>
        <w:gridCol w:w="950"/>
        <w:gridCol w:w="1605"/>
        <w:gridCol w:w="2267"/>
      </w:tblGrid>
      <w:tr w14:paraId="2311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14:paraId="0687AEFE">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934" w:type="dxa"/>
            <w:vAlign w:val="center"/>
          </w:tcPr>
          <w:p w14:paraId="1B9BCAC9">
            <w:pPr>
              <w:keepLines w:val="0"/>
              <w:pageBreakBefore w:val="0"/>
              <w:widowControl w:val="0"/>
              <w:kinsoku/>
              <w:wordWrap/>
              <w:overflowPunct/>
              <w:topLinePunct w:val="0"/>
              <w:bidi w:val="0"/>
              <w:spacing w:after="0" w:line="48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区域</w:t>
            </w:r>
          </w:p>
        </w:tc>
        <w:tc>
          <w:tcPr>
            <w:tcW w:w="2250" w:type="dxa"/>
            <w:vAlign w:val="center"/>
          </w:tcPr>
          <w:p w14:paraId="3CE23171">
            <w:pPr>
              <w:keepLines w:val="0"/>
              <w:pageBreakBefore w:val="0"/>
              <w:widowControl w:val="0"/>
              <w:kinsoku/>
              <w:wordWrap/>
              <w:overflowPunct/>
              <w:topLinePunct w:val="0"/>
              <w:bidi w:val="0"/>
              <w:spacing w:after="0" w:line="48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工具、设备名称</w:t>
            </w:r>
          </w:p>
        </w:tc>
        <w:tc>
          <w:tcPr>
            <w:tcW w:w="950" w:type="dxa"/>
            <w:vAlign w:val="center"/>
          </w:tcPr>
          <w:p w14:paraId="105F6708">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1605" w:type="dxa"/>
            <w:vAlign w:val="center"/>
          </w:tcPr>
          <w:p w14:paraId="03DC980D">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w:t>
            </w:r>
          </w:p>
        </w:tc>
        <w:tc>
          <w:tcPr>
            <w:tcW w:w="2267" w:type="dxa"/>
            <w:vAlign w:val="center"/>
          </w:tcPr>
          <w:p w14:paraId="4BC37AE3">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7C51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14:paraId="1DA6795C">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934" w:type="dxa"/>
            <w:vAlign w:val="center"/>
          </w:tcPr>
          <w:p w14:paraId="45D6C1D1">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2250" w:type="dxa"/>
            <w:vAlign w:val="center"/>
          </w:tcPr>
          <w:p w14:paraId="1ED0F0A7">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950" w:type="dxa"/>
            <w:vAlign w:val="center"/>
          </w:tcPr>
          <w:p w14:paraId="4C0B7A35">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1605" w:type="dxa"/>
            <w:vAlign w:val="center"/>
          </w:tcPr>
          <w:p w14:paraId="75D5C496">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2267" w:type="dxa"/>
            <w:vAlign w:val="center"/>
          </w:tcPr>
          <w:p w14:paraId="7C4D7673">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r>
      <w:tr w14:paraId="7F1F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14:paraId="0F29DF84">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934" w:type="dxa"/>
            <w:vAlign w:val="center"/>
          </w:tcPr>
          <w:p w14:paraId="531CB2E5">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2250" w:type="dxa"/>
            <w:vAlign w:val="center"/>
          </w:tcPr>
          <w:p w14:paraId="16D86E8E">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950" w:type="dxa"/>
            <w:vAlign w:val="center"/>
          </w:tcPr>
          <w:p w14:paraId="31A948F3">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1605" w:type="dxa"/>
            <w:vAlign w:val="center"/>
          </w:tcPr>
          <w:p w14:paraId="1EA07DDC">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2267" w:type="dxa"/>
            <w:vAlign w:val="center"/>
          </w:tcPr>
          <w:p w14:paraId="3CA753EA">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r>
      <w:tr w14:paraId="130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14:paraId="1700054B">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934" w:type="dxa"/>
            <w:vAlign w:val="center"/>
          </w:tcPr>
          <w:p w14:paraId="15C8B6A1">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2250" w:type="dxa"/>
            <w:vAlign w:val="center"/>
          </w:tcPr>
          <w:p w14:paraId="4EE93176">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950" w:type="dxa"/>
            <w:vAlign w:val="center"/>
          </w:tcPr>
          <w:p w14:paraId="4A720D1E">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1605" w:type="dxa"/>
            <w:vAlign w:val="center"/>
          </w:tcPr>
          <w:p w14:paraId="4205C635">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c>
          <w:tcPr>
            <w:tcW w:w="2267" w:type="dxa"/>
            <w:vAlign w:val="center"/>
          </w:tcPr>
          <w:p w14:paraId="21EC22A3">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p>
        </w:tc>
      </w:tr>
    </w:tbl>
    <w:p w14:paraId="6B50D1DE">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（七）投标报价要求</w:t>
      </w:r>
    </w:p>
    <w:p w14:paraId="446865AC">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投标报价是响应采购项目要求的全部工作内容的价格体现，应包括</w:t>
      </w:r>
      <w:r>
        <w:rPr>
          <w:rFonts w:hint="default" w:ascii="仿宋_GB2312" w:hAnsi="仿宋_GB2312" w:eastAsia="仿宋_GB2312" w:cs="仿宋_GB2312"/>
          <w:color w:val="auto"/>
          <w:sz w:val="28"/>
          <w:szCs w:val="28"/>
          <w:highlight w:val="none"/>
          <w:vertAlign w:val="baseline"/>
          <w:lang w:val="en-US" w:eastAsia="zh-CN"/>
        </w:rPr>
        <w:t>人</w:t>
      </w:r>
      <w:r>
        <w:rPr>
          <w:rFonts w:hint="eastAsia" w:ascii="仿宋_GB2312" w:hAnsi="仿宋_GB2312" w:eastAsia="仿宋_GB2312" w:cs="仿宋_GB2312"/>
          <w:color w:val="auto"/>
          <w:sz w:val="28"/>
          <w:szCs w:val="28"/>
          <w:highlight w:val="none"/>
          <w:vertAlign w:val="baseline"/>
          <w:lang w:val="en-US" w:eastAsia="zh-CN"/>
        </w:rPr>
        <w:t>工费（基本</w:t>
      </w:r>
      <w:r>
        <w:rPr>
          <w:rFonts w:hint="eastAsia" w:ascii="仿宋_GB2312" w:hAnsi="仿宋_GB2312" w:eastAsia="仿宋_GB2312" w:cs="仿宋_GB2312"/>
          <w:color w:val="auto"/>
          <w:sz w:val="28"/>
          <w:szCs w:val="28"/>
          <w:highlight w:val="none"/>
        </w:rPr>
        <w:t>工资、社会保险费、</w:t>
      </w:r>
      <w:r>
        <w:rPr>
          <w:rFonts w:hint="eastAsia" w:ascii="仿宋_GB2312" w:hAnsi="仿宋_GB2312" w:eastAsia="仿宋_GB2312" w:cs="仿宋_GB2312"/>
          <w:color w:val="auto"/>
          <w:sz w:val="28"/>
          <w:szCs w:val="28"/>
          <w:highlight w:val="none"/>
          <w:lang w:val="en-US" w:eastAsia="zh-CN"/>
        </w:rPr>
        <w:t>加班费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福利费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机械设备费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服务耗材费、</w:t>
      </w:r>
      <w:r>
        <w:rPr>
          <w:rFonts w:hint="eastAsia" w:ascii="仿宋_GB2312" w:hAnsi="仿宋_GB2312" w:eastAsia="仿宋_GB2312" w:cs="仿宋_GB2312"/>
          <w:color w:val="auto"/>
          <w:sz w:val="28"/>
          <w:szCs w:val="28"/>
          <w:highlight w:val="none"/>
          <w:lang w:val="en-US" w:eastAsia="zh-CN"/>
        </w:rPr>
        <w:t>其他费用(</w:t>
      </w:r>
      <w:r>
        <w:rPr>
          <w:rFonts w:hint="eastAsia" w:ascii="仿宋_GB2312" w:hAnsi="仿宋_GB2312" w:eastAsia="仿宋_GB2312" w:cs="仿宋_GB2312"/>
          <w:color w:val="auto"/>
          <w:sz w:val="28"/>
          <w:szCs w:val="28"/>
          <w:highlight w:val="none"/>
        </w:rPr>
        <w:t>行政办公费、管理费、利润</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税费及采购文件中约定应由</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完成的本项目全部服务内容所需全部费用。</w:t>
      </w:r>
    </w:p>
    <w:p w14:paraId="438ADFE0">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2.投标人的报价作为每年签订合同金额的依据。服务期内，如国家或地方政府的最低工资标准、保险基数费用、税费等政策调整或是物价上涨，合同金额不做调整，请投标人综合考虑。</w:t>
      </w:r>
    </w:p>
    <w:p w14:paraId="476DE3E3">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3.报价要求</w:t>
      </w:r>
    </w:p>
    <w:p w14:paraId="6C06366F">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投标人应按招标文件要求提供《开标一览表明细》。《开标一览表明细》表中的报价不得以“企业让利”、“已有耗材或设施设备库存”等形式免费或无偿、赠送或零报价提供服务，</w:t>
      </w:r>
      <w:r>
        <w:rPr>
          <w:rFonts w:hint="eastAsia" w:ascii="仿宋_GB2312" w:hAnsi="仿宋_GB2312" w:eastAsia="仿宋_GB2312" w:cs="仿宋_GB2312"/>
          <w:b/>
          <w:bCs/>
          <w:color w:val="auto"/>
          <w:sz w:val="28"/>
          <w:szCs w:val="28"/>
          <w:highlight w:val="none"/>
          <w:lang w:val="en-US" w:eastAsia="zh-CN"/>
        </w:rPr>
        <w:t>否则视为未实质性响应作废标处理。</w:t>
      </w:r>
    </w:p>
    <w:p w14:paraId="57D5729B">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 基本工资：人员基本工资不得低于本项目所在地行政区当年度最低工资标准。投标人在编制投标报价时，其人员工资低于本项目所在地行政区当年度最低工资标准，</w:t>
      </w:r>
      <w:r>
        <w:rPr>
          <w:rFonts w:hint="eastAsia" w:ascii="仿宋_GB2312" w:hAnsi="仿宋_GB2312" w:eastAsia="仿宋_GB2312" w:cs="仿宋_GB2312"/>
          <w:b/>
          <w:bCs/>
          <w:color w:val="auto"/>
          <w:sz w:val="28"/>
          <w:szCs w:val="28"/>
          <w:highlight w:val="none"/>
          <w:lang w:val="en-US" w:eastAsia="zh-CN"/>
        </w:rPr>
        <w:t>视为未实质性响应作废标处理。</w:t>
      </w:r>
    </w:p>
    <w:p w14:paraId="78E967B5">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 社会保险费：社保缴纳标准不得低于本项目所在地行政区当年度规定的最低缴纳基数和最低缴纳比例，</w:t>
      </w:r>
      <w:r>
        <w:rPr>
          <w:rFonts w:hint="eastAsia" w:ascii="仿宋_GB2312" w:hAnsi="仿宋_GB2312" w:eastAsia="仿宋_GB2312" w:cs="仿宋_GB2312"/>
          <w:b/>
          <w:bCs/>
          <w:color w:val="auto"/>
          <w:sz w:val="28"/>
          <w:szCs w:val="28"/>
          <w:highlight w:val="none"/>
          <w:lang w:val="en-US" w:eastAsia="zh-CN"/>
        </w:rPr>
        <w:t>否则视为未实质性响应作废标处理。</w:t>
      </w:r>
      <w:r>
        <w:rPr>
          <w:rFonts w:hint="eastAsia" w:ascii="仿宋_GB2312" w:hAnsi="仿宋_GB2312" w:eastAsia="仿宋_GB2312" w:cs="仿宋_GB2312"/>
          <w:color w:val="auto"/>
          <w:sz w:val="28"/>
          <w:szCs w:val="28"/>
          <w:highlight w:val="none"/>
          <w:lang w:val="en-US" w:eastAsia="zh-CN"/>
        </w:rPr>
        <w:t>投标人在编制投标报价时，以被征地农民已参加被征地农民养老保险为由不为本项目服务人员缴纳社会保险费的，</w:t>
      </w:r>
      <w:r>
        <w:rPr>
          <w:rFonts w:hint="eastAsia" w:ascii="仿宋_GB2312" w:hAnsi="仿宋_GB2312" w:eastAsia="仿宋_GB2312" w:cs="仿宋_GB2312"/>
          <w:b/>
          <w:bCs/>
          <w:color w:val="auto"/>
          <w:sz w:val="28"/>
          <w:szCs w:val="28"/>
          <w:highlight w:val="none"/>
          <w:lang w:val="en-US" w:eastAsia="zh-CN"/>
        </w:rPr>
        <w:t>视为未实质性响应作废标处理。</w:t>
      </w:r>
    </w:p>
    <w:p w14:paraId="0AD551A5">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 加班费：</w:t>
      </w:r>
    </w:p>
    <w:p w14:paraId="536285C5">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（1）法定节假日加班费：本项目法定节假日在岗人员加班费计入总报价，采购人支付物业服务费用后不再单独支付加班费。法定休假日加班工资应符合《中华人民共和国劳动法(2018修正) 》第四十四条“（三）法定休假日安排劳动者工作的，支付不低于工资的百分之三百的工资报酬”之规定。法定节假日按规定元旦、春节、清明节、劳动节、端午节、中秋节、国庆节，共13天计算。</w:t>
      </w:r>
      <w:r>
        <w:rPr>
          <w:rFonts w:hint="eastAsia" w:ascii="仿宋_GB2312" w:hAnsi="仿宋_GB2312" w:eastAsia="仿宋_GB2312" w:cs="仿宋_GB2312"/>
          <w:b/>
          <w:bCs/>
          <w:color w:val="auto"/>
          <w:sz w:val="28"/>
          <w:szCs w:val="28"/>
          <w:highlight w:val="none"/>
          <w:lang w:val="en-US" w:eastAsia="zh-CN"/>
        </w:rPr>
        <w:t>本项目法定节假日须在岗人数（XX)人</w:t>
      </w:r>
      <w:r>
        <w:rPr>
          <w:rFonts w:hint="eastAsia" w:ascii="仿宋_GB2312" w:hAnsi="仿宋_GB2312" w:eastAsia="仿宋_GB2312" w:cs="仿宋_GB2312"/>
          <w:color w:val="auto"/>
          <w:sz w:val="28"/>
          <w:szCs w:val="28"/>
          <w:highlight w:val="none"/>
          <w:lang w:val="en-US" w:eastAsia="zh-CN"/>
        </w:rPr>
        <w:t>。投标人在编制投标报价时，法定节假日人员加班费低于上述要求，</w:t>
      </w:r>
      <w:r>
        <w:rPr>
          <w:rFonts w:hint="eastAsia" w:ascii="仿宋_GB2312" w:hAnsi="仿宋_GB2312" w:eastAsia="仿宋_GB2312" w:cs="仿宋_GB2312"/>
          <w:b/>
          <w:bCs/>
          <w:color w:val="auto"/>
          <w:sz w:val="28"/>
          <w:szCs w:val="28"/>
          <w:highlight w:val="none"/>
          <w:lang w:val="en-US" w:eastAsia="zh-CN"/>
        </w:rPr>
        <w:t>视为未实质性响应作废标处理。</w:t>
      </w:r>
      <w:r>
        <w:rPr>
          <w:rFonts w:hint="eastAsia" w:ascii="仿宋_GB2312" w:hAnsi="仿宋_GB2312" w:eastAsia="仿宋_GB2312" w:cs="仿宋_GB2312"/>
          <w:color w:val="auto"/>
          <w:sz w:val="28"/>
          <w:szCs w:val="28"/>
          <w:highlight w:val="none"/>
          <w:lang w:val="en-US" w:eastAsia="zh-CN"/>
        </w:rPr>
        <w:t>计算公式（示例）：</w:t>
      </w:r>
      <w:r>
        <w:rPr>
          <w:rFonts w:hint="eastAsia" w:ascii="仿宋_GB2312" w:hAnsi="仿宋_GB2312" w:eastAsia="仿宋_GB2312" w:cs="仿宋_GB2312"/>
          <w:b/>
          <w:bCs/>
          <w:color w:val="auto"/>
          <w:sz w:val="28"/>
          <w:szCs w:val="28"/>
          <w:highlight w:val="none"/>
          <w:lang w:val="en-US" w:eastAsia="zh-CN"/>
        </w:rPr>
        <w:t>工资</w:t>
      </w:r>
      <w:r>
        <w:rPr>
          <w:rFonts w:hint="eastAsia" w:ascii="仿宋_GB2312" w:hAnsi="仿宋_GB2312" w:eastAsia="仿宋_GB2312" w:cs="仿宋_GB2312"/>
          <w:color w:val="auto"/>
          <w:sz w:val="28"/>
          <w:szCs w:val="28"/>
          <w:highlight w:val="none"/>
          <w:lang w:val="en-US" w:eastAsia="zh-CN"/>
        </w:rPr>
        <w:t>÷21.75天×3倍×（人数）×13天。</w:t>
      </w:r>
    </w:p>
    <w:p w14:paraId="5FD34766">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双休日、工作日加班费：投标人可结合自身情况安排补休；投标人确不能安排加班人员补休的，需按照招标文件要求，根据【中华人民共和国劳动法(2018修正)】文件规定支付相应的加班费。双休日、工作日在岗加班费计入总报价，采购人支付物业服务费用后不再单独支付加班费。</w:t>
      </w:r>
    </w:p>
    <w:p w14:paraId="40607DFF">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 福利费：投标人</w:t>
      </w:r>
      <w:r>
        <w:rPr>
          <w:rFonts w:hint="eastAsia" w:ascii="仿宋_GB2312" w:hAnsi="仿宋_GB2312" w:eastAsia="仿宋_GB2312" w:cs="仿宋_GB2312"/>
          <w:b w:val="0"/>
          <w:bCs w:val="0"/>
          <w:color w:val="auto"/>
          <w:sz w:val="28"/>
          <w:szCs w:val="28"/>
          <w:highlight w:val="none"/>
          <w:lang w:val="en-US" w:eastAsia="zh-CN"/>
        </w:rPr>
        <w:t>结合自身情况进行报价。</w:t>
      </w:r>
    </w:p>
    <w:p w14:paraId="5FAD6814">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服务耗材费：投标人按采购需求“服务耗材”配置清单，及结合自身情况进行报价。</w:t>
      </w:r>
    </w:p>
    <w:p w14:paraId="727D0F29">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 机械设备费：投标人按采购需求“机械设备”配置清单，及结合自身情况进行报价。</w:t>
      </w:r>
    </w:p>
    <w:p w14:paraId="1EAAE688">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3.7 其他费用：</w:t>
      </w:r>
      <w:r>
        <w:rPr>
          <w:rFonts w:hint="eastAsia" w:ascii="仿宋_GB2312" w:hAnsi="仿宋_GB2312" w:eastAsia="仿宋_GB2312" w:cs="仿宋_GB2312"/>
          <w:color w:val="auto"/>
          <w:sz w:val="28"/>
          <w:szCs w:val="28"/>
          <w:highlight w:val="none"/>
        </w:rPr>
        <w:t>行政办公费</w:t>
      </w:r>
      <w:r>
        <w:rPr>
          <w:rFonts w:hint="eastAsia" w:ascii="仿宋_GB2312" w:hAnsi="仿宋_GB2312" w:eastAsia="仿宋_GB2312" w:cs="仿宋_GB2312"/>
          <w:color w:val="auto"/>
          <w:sz w:val="28"/>
          <w:szCs w:val="28"/>
          <w:highlight w:val="none"/>
          <w:lang w:val="en-US" w:eastAsia="zh-CN"/>
        </w:rPr>
        <w:t>（人员服装费、办公用品、劳保用品、培训费）、</w:t>
      </w:r>
      <w:r>
        <w:rPr>
          <w:rFonts w:hint="eastAsia" w:ascii="仿宋_GB2312" w:hAnsi="仿宋_GB2312" w:eastAsia="仿宋_GB2312" w:cs="仿宋_GB2312"/>
          <w:color w:val="auto"/>
          <w:sz w:val="28"/>
          <w:szCs w:val="28"/>
          <w:highlight w:val="none"/>
        </w:rPr>
        <w:t>管理费、利润、单次单项</w:t>
      </w:r>
      <w:r>
        <w:rPr>
          <w:rFonts w:hint="eastAsia" w:ascii="仿宋_GB2312" w:hAnsi="仿宋_GB2312" w:eastAsia="仿宋_GB2312" w:cs="仿宋_GB2312"/>
          <w:color w:val="auto"/>
          <w:sz w:val="28"/>
          <w:szCs w:val="28"/>
          <w:highlight w:val="none"/>
          <w:u w:val="none"/>
          <w:lang w:val="en-US" w:eastAsia="zh-CN"/>
        </w:rPr>
        <w:t>XXX</w:t>
      </w:r>
      <w:r>
        <w:rPr>
          <w:rFonts w:hint="eastAsia" w:ascii="仿宋_GB2312" w:hAnsi="仿宋_GB2312" w:eastAsia="仿宋_GB2312" w:cs="仿宋_GB2312"/>
          <w:color w:val="auto"/>
          <w:sz w:val="28"/>
          <w:szCs w:val="28"/>
          <w:highlight w:val="none"/>
        </w:rPr>
        <w:t>元以下的日常设备更换费或维修费及采购文件中约定应由</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完成的本项目全部服务内容所需全部费用。</w:t>
      </w:r>
    </w:p>
    <w:p w14:paraId="77C99A06">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 税费：投标人按本年度在税务系统增值税纳税人身份计算投标报价的税费，投标人应明确的增值税纳税人身份</w:t>
      </w:r>
      <w:r>
        <w:rPr>
          <w:rFonts w:hint="eastAsia" w:ascii="仿宋_GB2312" w:hAnsi="仿宋_GB2312" w:eastAsia="仿宋_GB2312" w:cs="仿宋_GB2312"/>
          <w:b/>
          <w:bCs/>
          <w:color w:val="auto"/>
          <w:sz w:val="28"/>
          <w:szCs w:val="28"/>
          <w:highlight w:val="none"/>
          <w:lang w:val="en-US" w:eastAsia="zh-CN"/>
        </w:rPr>
        <w:t>（提供税务系统增值税纳税人身份资格截图）</w:t>
      </w:r>
      <w:r>
        <w:rPr>
          <w:rFonts w:hint="eastAsia" w:ascii="仿宋_GB2312" w:hAnsi="仿宋_GB2312" w:eastAsia="仿宋_GB2312" w:cs="仿宋_GB2312"/>
          <w:color w:val="auto"/>
          <w:sz w:val="28"/>
          <w:szCs w:val="28"/>
          <w:highlight w:val="none"/>
          <w:lang w:val="en-US" w:eastAsia="zh-CN"/>
        </w:rPr>
        <w:t>。</w:t>
      </w:r>
    </w:p>
    <w:p w14:paraId="79950D82">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3.8.1 若投标人依法享受税率优惠或减免政策的，须提供投标人情况说明及由税务部门出具的证明材料或政策文件，未按上述要求提供或不符合要求的，</w:t>
      </w:r>
      <w:r>
        <w:rPr>
          <w:rFonts w:hint="eastAsia" w:ascii="仿宋_GB2312" w:hAnsi="仿宋_GB2312" w:eastAsia="仿宋_GB2312" w:cs="仿宋_GB2312"/>
          <w:b/>
          <w:bCs/>
          <w:color w:val="auto"/>
          <w:sz w:val="28"/>
          <w:szCs w:val="28"/>
          <w:highlight w:val="none"/>
          <w:lang w:val="en-US" w:eastAsia="zh-CN"/>
        </w:rPr>
        <w:t>视为未实质性响应作废标处理【提供投标人情况说明（说明内容应包含享受税率优惠或减免政策的情况）和由税务部门出具的证明材料或政策文件】。</w:t>
      </w:r>
    </w:p>
    <w:p w14:paraId="45FE9841">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3.8.2 本项目为物业管理服务项目，根据《财政部国家税务总局关于全面推开营业税改征增值税试点的通知》财税〔2016〕36号文及其附件《营业税改征增值税试点实施办法》的规定，物业管理行业属于第8项商务辅助服务中企业管理服务类，投标人不得按劳务派遣服务计算税率，</w:t>
      </w:r>
      <w:r>
        <w:rPr>
          <w:rFonts w:hint="eastAsia" w:ascii="仿宋_GB2312" w:hAnsi="仿宋_GB2312" w:eastAsia="仿宋_GB2312" w:cs="仿宋_GB2312"/>
          <w:b/>
          <w:bCs/>
          <w:color w:val="auto"/>
          <w:sz w:val="28"/>
          <w:szCs w:val="28"/>
          <w:highlight w:val="none"/>
          <w:lang w:val="en-US" w:eastAsia="zh-CN"/>
        </w:rPr>
        <w:t>否则视为未实质性响应作废标处理。</w:t>
      </w:r>
    </w:p>
    <w:p w14:paraId="59C583FF">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3.9 开标一览表明细</w:t>
      </w:r>
    </w:p>
    <w:tbl>
      <w:tblPr>
        <w:tblStyle w:val="9"/>
        <w:tblW w:w="921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488"/>
        <w:gridCol w:w="1846"/>
        <w:gridCol w:w="3820"/>
      </w:tblGrid>
      <w:tr w14:paraId="00CB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 w:type="dxa"/>
            <w:vAlign w:val="center"/>
          </w:tcPr>
          <w:p w14:paraId="3CBAD17E">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2550" w:type="dxa"/>
            <w:vAlign w:val="center"/>
          </w:tcPr>
          <w:p w14:paraId="28110BF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报价明细</w:t>
            </w:r>
          </w:p>
        </w:tc>
        <w:tc>
          <w:tcPr>
            <w:tcW w:w="1871" w:type="dxa"/>
            <w:vAlign w:val="center"/>
          </w:tcPr>
          <w:p w14:paraId="5E0C4967">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年报价（元）</w:t>
            </w:r>
          </w:p>
        </w:tc>
        <w:tc>
          <w:tcPr>
            <w:tcW w:w="3898" w:type="dxa"/>
            <w:vAlign w:val="center"/>
          </w:tcPr>
          <w:p w14:paraId="7DD7671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p>
        </w:tc>
      </w:tr>
      <w:tr w14:paraId="3AE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91" w:type="dxa"/>
            <w:vAlign w:val="center"/>
          </w:tcPr>
          <w:p w14:paraId="105FA32C">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2550" w:type="dxa"/>
            <w:vAlign w:val="center"/>
          </w:tcPr>
          <w:p w14:paraId="631ED63B">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lang w:val="en-US" w:eastAsia="zh-CN"/>
              </w:rPr>
              <w:t>工费</w:t>
            </w:r>
          </w:p>
        </w:tc>
        <w:tc>
          <w:tcPr>
            <w:tcW w:w="1871" w:type="dxa"/>
            <w:vAlign w:val="center"/>
          </w:tcPr>
          <w:p w14:paraId="48E0D0AB">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p>
        </w:tc>
        <w:tc>
          <w:tcPr>
            <w:tcW w:w="3898" w:type="dxa"/>
            <w:vAlign w:val="center"/>
          </w:tcPr>
          <w:p w14:paraId="1074CFCB">
            <w:pPr>
              <w:keepLines w:val="0"/>
              <w:pageBreakBefore w:val="0"/>
              <w:widowControl w:val="0"/>
              <w:numPr>
                <w:ilvl w:val="0"/>
                <w:numId w:val="2"/>
              </w:numPr>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vertAlign w:val="baseline"/>
                <w:lang w:val="en-US" w:eastAsia="zh-CN"/>
              </w:rPr>
              <w:t>包含基本</w:t>
            </w:r>
            <w:r>
              <w:rPr>
                <w:rFonts w:hint="eastAsia" w:ascii="仿宋_GB2312" w:hAnsi="仿宋_GB2312" w:eastAsia="仿宋_GB2312" w:cs="仿宋_GB2312"/>
                <w:color w:val="auto"/>
                <w:sz w:val="28"/>
                <w:szCs w:val="28"/>
                <w:highlight w:val="none"/>
              </w:rPr>
              <w:t>工资、社会保险费、</w:t>
            </w:r>
            <w:r>
              <w:rPr>
                <w:rFonts w:hint="eastAsia" w:ascii="仿宋_GB2312" w:hAnsi="仿宋_GB2312" w:eastAsia="仿宋_GB2312" w:cs="仿宋_GB2312"/>
                <w:color w:val="auto"/>
                <w:sz w:val="28"/>
                <w:szCs w:val="28"/>
                <w:highlight w:val="none"/>
                <w:lang w:val="en-US" w:eastAsia="zh-CN"/>
              </w:rPr>
              <w:t>加班费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福利费；</w:t>
            </w:r>
          </w:p>
          <w:p w14:paraId="44731C07">
            <w:pPr>
              <w:keepLines w:val="0"/>
              <w:pageBreakBefore w:val="0"/>
              <w:widowControl w:val="0"/>
              <w:numPr>
                <w:ilvl w:val="0"/>
                <w:numId w:val="0"/>
              </w:numPr>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提供分项报价明细表</w:t>
            </w:r>
            <w:r>
              <w:rPr>
                <w:rFonts w:hint="eastAsia" w:ascii="仿宋_GB2312" w:hAnsi="仿宋_GB2312" w:eastAsia="仿宋_GB2312" w:cs="仿宋_GB2312"/>
                <w:color w:val="auto"/>
                <w:sz w:val="28"/>
                <w:szCs w:val="28"/>
                <w:highlight w:val="none"/>
                <w:lang w:val="en-US" w:eastAsia="zh-CN"/>
              </w:rPr>
              <w:t>。</w:t>
            </w:r>
          </w:p>
        </w:tc>
      </w:tr>
      <w:tr w14:paraId="753D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91" w:type="dxa"/>
            <w:vAlign w:val="center"/>
          </w:tcPr>
          <w:p w14:paraId="7609ACDB">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2550" w:type="dxa"/>
            <w:shd w:val="clear" w:color="auto" w:fill="auto"/>
            <w:vAlign w:val="center"/>
          </w:tcPr>
          <w:p w14:paraId="3E2562FE">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服务耗材费</w:t>
            </w:r>
          </w:p>
        </w:tc>
        <w:tc>
          <w:tcPr>
            <w:tcW w:w="1871" w:type="dxa"/>
            <w:vAlign w:val="center"/>
          </w:tcPr>
          <w:p w14:paraId="5CFF05DB">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p>
        </w:tc>
        <w:tc>
          <w:tcPr>
            <w:tcW w:w="3898" w:type="dxa"/>
            <w:vAlign w:val="center"/>
          </w:tcPr>
          <w:p w14:paraId="0338D10F">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详见采购需求中的“（五）服务耗材”</w:t>
            </w:r>
          </w:p>
        </w:tc>
      </w:tr>
      <w:tr w14:paraId="3F2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91" w:type="dxa"/>
            <w:vAlign w:val="center"/>
          </w:tcPr>
          <w:p w14:paraId="6AEF96FE">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2550" w:type="dxa"/>
            <w:shd w:val="clear" w:color="auto" w:fill="auto"/>
            <w:vAlign w:val="center"/>
          </w:tcPr>
          <w:p w14:paraId="1FABDDAC">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机械设备费</w:t>
            </w:r>
          </w:p>
        </w:tc>
        <w:tc>
          <w:tcPr>
            <w:tcW w:w="1871" w:type="dxa"/>
            <w:vAlign w:val="center"/>
          </w:tcPr>
          <w:p w14:paraId="477C7CF1">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p>
        </w:tc>
        <w:tc>
          <w:tcPr>
            <w:tcW w:w="3898" w:type="dxa"/>
            <w:vAlign w:val="center"/>
          </w:tcPr>
          <w:p w14:paraId="16DED294">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详见采购需求中的“（六）机械设备”</w:t>
            </w:r>
          </w:p>
        </w:tc>
      </w:tr>
      <w:tr w14:paraId="088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1" w:type="dxa"/>
            <w:vAlign w:val="center"/>
          </w:tcPr>
          <w:p w14:paraId="635E8F37">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2550" w:type="dxa"/>
            <w:shd w:val="clear" w:color="auto" w:fill="auto"/>
            <w:vAlign w:val="center"/>
          </w:tcPr>
          <w:p w14:paraId="47FDAE64">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其他费用</w:t>
            </w:r>
          </w:p>
        </w:tc>
        <w:tc>
          <w:tcPr>
            <w:tcW w:w="1871" w:type="dxa"/>
            <w:vAlign w:val="center"/>
          </w:tcPr>
          <w:p w14:paraId="0EA07E69">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p>
        </w:tc>
        <w:tc>
          <w:tcPr>
            <w:tcW w:w="3898" w:type="dxa"/>
            <w:vAlign w:val="center"/>
          </w:tcPr>
          <w:p w14:paraId="2895AEFD">
            <w:pPr>
              <w:keepLines w:val="0"/>
              <w:pageBreakBefore w:val="0"/>
              <w:widowControl w:val="0"/>
              <w:kinsoku/>
              <w:wordWrap/>
              <w:overflowPunct/>
              <w:topLinePunct w:val="0"/>
              <w:autoSpaceDE w:val="0"/>
              <w:autoSpaceDN w:val="0"/>
              <w:bidi w:val="0"/>
              <w:spacing w:after="0" w:line="480" w:lineRule="exact"/>
              <w:jc w:val="left"/>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包含</w:t>
            </w:r>
            <w:r>
              <w:rPr>
                <w:rFonts w:hint="eastAsia" w:ascii="仿宋_GB2312" w:hAnsi="仿宋_GB2312" w:eastAsia="仿宋_GB2312" w:cs="仿宋_GB2312"/>
                <w:color w:val="auto"/>
                <w:sz w:val="28"/>
                <w:szCs w:val="28"/>
                <w:highlight w:val="none"/>
              </w:rPr>
              <w:t>行政办公费</w:t>
            </w:r>
            <w:r>
              <w:rPr>
                <w:rFonts w:hint="eastAsia" w:ascii="仿宋_GB2312" w:hAnsi="仿宋_GB2312" w:eastAsia="仿宋_GB2312" w:cs="仿宋_GB2312"/>
                <w:color w:val="auto"/>
                <w:sz w:val="28"/>
                <w:szCs w:val="28"/>
                <w:highlight w:val="none"/>
                <w:lang w:val="en-US" w:eastAsia="zh-CN"/>
              </w:rPr>
              <w:t>（人员服装费、办公用品、劳保用品、培训费）、</w:t>
            </w:r>
            <w:r>
              <w:rPr>
                <w:rFonts w:hint="eastAsia" w:ascii="仿宋_GB2312" w:hAnsi="仿宋_GB2312" w:eastAsia="仿宋_GB2312" w:cs="仿宋_GB2312"/>
                <w:color w:val="auto"/>
                <w:sz w:val="28"/>
                <w:szCs w:val="28"/>
                <w:highlight w:val="none"/>
              </w:rPr>
              <w:t>管理费、利润的日常设备更换费或维修费及采购文件中约定应由</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完成的本项目全部服务内容所需全部费用</w:t>
            </w:r>
          </w:p>
        </w:tc>
      </w:tr>
      <w:tr w14:paraId="4C4C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91" w:type="dxa"/>
            <w:vAlign w:val="center"/>
          </w:tcPr>
          <w:p w14:paraId="428B50AD">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2550" w:type="dxa"/>
            <w:shd w:val="clear" w:color="auto" w:fill="auto"/>
            <w:vAlign w:val="center"/>
          </w:tcPr>
          <w:p w14:paraId="525965C1">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税费</w:t>
            </w:r>
          </w:p>
        </w:tc>
        <w:tc>
          <w:tcPr>
            <w:tcW w:w="1871" w:type="dxa"/>
            <w:vAlign w:val="center"/>
          </w:tcPr>
          <w:p w14:paraId="7323A219">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p>
        </w:tc>
        <w:tc>
          <w:tcPr>
            <w:tcW w:w="3898" w:type="dxa"/>
            <w:vAlign w:val="center"/>
          </w:tcPr>
          <w:p w14:paraId="3477EA9E">
            <w:pPr>
              <w:keepLines w:val="0"/>
              <w:pageBreakBefore w:val="0"/>
              <w:widowControl w:val="0"/>
              <w:kinsoku/>
              <w:wordWrap/>
              <w:overflowPunct/>
              <w:topLinePunct w:val="0"/>
              <w:autoSpaceDE w:val="0"/>
              <w:autoSpaceDN w:val="0"/>
              <w:bidi w:val="0"/>
              <w:spacing w:after="0" w:line="480" w:lineRule="exact"/>
              <w:jc w:val="left"/>
              <w:textAlignment w:val="auto"/>
              <w:outlineLvl w:val="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按投标人本年度在税务系统增值税纳税人身份计算投标报价的税费</w:t>
            </w:r>
          </w:p>
        </w:tc>
      </w:tr>
      <w:tr w14:paraId="2DF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91" w:type="dxa"/>
            <w:vAlign w:val="center"/>
          </w:tcPr>
          <w:p w14:paraId="606A984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c>
          <w:tcPr>
            <w:tcW w:w="2550" w:type="dxa"/>
            <w:shd w:val="clear" w:color="auto" w:fill="auto"/>
            <w:vAlign w:val="center"/>
          </w:tcPr>
          <w:p w14:paraId="0875B5C3">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_GB2312" w:hAnsi="仿宋_GB2312" w:eastAsia="仿宋_GB2312" w:cs="仿宋_GB2312"/>
                <w:color w:val="auto"/>
                <w:sz w:val="28"/>
                <w:szCs w:val="28"/>
                <w:highlight w:val="none"/>
              </w:rPr>
            </w:pPr>
          </w:p>
        </w:tc>
        <w:tc>
          <w:tcPr>
            <w:tcW w:w="1871" w:type="dxa"/>
            <w:vAlign w:val="center"/>
          </w:tcPr>
          <w:p w14:paraId="42AB8B1C">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p>
        </w:tc>
        <w:tc>
          <w:tcPr>
            <w:tcW w:w="3898" w:type="dxa"/>
            <w:vAlign w:val="center"/>
          </w:tcPr>
          <w:p w14:paraId="0087EBAA">
            <w:pPr>
              <w:keepLines w:val="0"/>
              <w:pageBreakBefore w:val="0"/>
              <w:widowControl w:val="0"/>
              <w:kinsoku/>
              <w:wordWrap/>
              <w:overflowPunct/>
              <w:topLinePunct w:val="0"/>
              <w:autoSpaceDE w:val="0"/>
              <w:autoSpaceDN w:val="0"/>
              <w:bidi w:val="0"/>
              <w:spacing w:after="0" w:line="480" w:lineRule="exact"/>
              <w:jc w:val="left"/>
              <w:textAlignment w:val="auto"/>
              <w:outlineLvl w:val="1"/>
              <w:rPr>
                <w:rFonts w:hint="eastAsia" w:ascii="仿宋_GB2312" w:hAnsi="仿宋_GB2312" w:eastAsia="仿宋_GB2312" w:cs="仿宋_GB2312"/>
                <w:color w:val="auto"/>
                <w:sz w:val="28"/>
                <w:szCs w:val="28"/>
                <w:highlight w:val="none"/>
                <w:lang w:val="en-US" w:eastAsia="zh-CN"/>
              </w:rPr>
            </w:pPr>
          </w:p>
        </w:tc>
      </w:tr>
      <w:tr w14:paraId="4CB0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41" w:type="dxa"/>
            <w:gridSpan w:val="2"/>
            <w:vAlign w:val="center"/>
          </w:tcPr>
          <w:p w14:paraId="1783B13B">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合计</w:t>
            </w:r>
            <w:r>
              <w:rPr>
                <w:rFonts w:hint="eastAsia" w:ascii="仿宋_GB2312" w:hAnsi="仿宋_GB2312" w:eastAsia="仿宋_GB2312" w:cs="仿宋_GB2312"/>
                <w:color w:val="auto"/>
                <w:sz w:val="28"/>
                <w:szCs w:val="28"/>
                <w:highlight w:val="none"/>
                <w:lang w:val="en-US" w:eastAsia="zh-CN"/>
              </w:rPr>
              <w:t>（元/年）</w:t>
            </w:r>
          </w:p>
        </w:tc>
        <w:tc>
          <w:tcPr>
            <w:tcW w:w="5769" w:type="dxa"/>
            <w:gridSpan w:val="2"/>
            <w:vAlign w:val="center"/>
          </w:tcPr>
          <w:p w14:paraId="4699E6EF">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p>
        </w:tc>
      </w:tr>
      <w:tr w14:paraId="7F64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210" w:type="dxa"/>
            <w:gridSpan w:val="4"/>
            <w:vAlign w:val="center"/>
          </w:tcPr>
          <w:p w14:paraId="62D380F6">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备注：</w:t>
            </w:r>
          </w:p>
          <w:p w14:paraId="0F37DD8A">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1.投标人</w:t>
            </w:r>
            <w:r>
              <w:rPr>
                <w:rFonts w:hint="default" w:ascii="仿宋_GB2312" w:hAnsi="仿宋_GB2312" w:eastAsia="仿宋_GB2312" w:cs="仿宋_GB2312"/>
                <w:color w:val="auto"/>
                <w:sz w:val="28"/>
                <w:szCs w:val="28"/>
                <w:highlight w:val="none"/>
                <w:lang w:val="en-US" w:eastAsia="zh-CN"/>
              </w:rPr>
              <w:t>应按“</w:t>
            </w:r>
            <w:r>
              <w:rPr>
                <w:rFonts w:hint="eastAsia" w:ascii="仿宋_GB2312" w:hAnsi="仿宋_GB2312" w:eastAsia="仿宋_GB2312" w:cs="仿宋_GB2312"/>
                <w:color w:val="auto"/>
                <w:sz w:val="28"/>
                <w:szCs w:val="28"/>
                <w:highlight w:val="none"/>
                <w:lang w:val="en-US" w:eastAsia="zh-CN"/>
              </w:rPr>
              <w:t>开标一览表明细</w:t>
            </w:r>
            <w:r>
              <w:rPr>
                <w:rFonts w:hint="default" w:ascii="仿宋_GB2312" w:hAnsi="仿宋_GB2312" w:eastAsia="仿宋_GB2312" w:cs="仿宋_GB2312"/>
                <w:color w:val="auto"/>
                <w:sz w:val="28"/>
                <w:szCs w:val="28"/>
                <w:highlight w:val="none"/>
                <w:lang w:val="en-US" w:eastAsia="zh-CN"/>
              </w:rPr>
              <w:t>”的格式详细报出总价的各个组成部分的报价</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各项报价金额不得为0。</w:t>
            </w:r>
            <w:r>
              <w:rPr>
                <w:rFonts w:hint="default" w:ascii="仿宋_GB2312" w:hAnsi="仿宋_GB2312" w:eastAsia="仿宋_GB2312" w:cs="仿宋_GB2312"/>
                <w:b/>
                <w:bCs/>
                <w:color w:val="auto"/>
                <w:sz w:val="28"/>
                <w:szCs w:val="28"/>
                <w:highlight w:val="none"/>
                <w:lang w:val="en-US" w:eastAsia="zh-CN"/>
              </w:rPr>
              <w:t>否则视为未实质性响应作废标处理</w:t>
            </w:r>
            <w:r>
              <w:rPr>
                <w:rFonts w:hint="eastAsia" w:ascii="仿宋_GB2312" w:hAnsi="仿宋_GB2312" w:eastAsia="仿宋_GB2312" w:cs="仿宋_GB2312"/>
                <w:b/>
                <w:bCs/>
                <w:color w:val="auto"/>
                <w:sz w:val="28"/>
                <w:szCs w:val="28"/>
                <w:highlight w:val="none"/>
                <w:lang w:val="en-US" w:eastAsia="zh-CN"/>
              </w:rPr>
              <w:t>。</w:t>
            </w:r>
          </w:p>
          <w:p w14:paraId="77B55DE4">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2.“人工费”须提供分项报价明细表（格式自拟），未提供“人工费”分项报价明细表的，</w:t>
            </w:r>
            <w:r>
              <w:rPr>
                <w:rFonts w:hint="eastAsia" w:ascii="仿宋_GB2312" w:hAnsi="仿宋_GB2312" w:eastAsia="仿宋_GB2312" w:cs="仿宋_GB2312"/>
                <w:b/>
                <w:bCs/>
                <w:color w:val="auto"/>
                <w:sz w:val="28"/>
                <w:szCs w:val="28"/>
                <w:highlight w:val="none"/>
                <w:lang w:val="en-US" w:eastAsia="zh-CN"/>
              </w:rPr>
              <w:t>视为未实质性响应作废标处理。</w:t>
            </w:r>
          </w:p>
          <w:p w14:paraId="1B9075FF">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3.本项目开标截止日若涉及最低工资标准、社会保险缴费基数及缴费比例有最新政策则执行最新政策，</w:t>
            </w:r>
            <w:r>
              <w:rPr>
                <w:rFonts w:hint="default" w:ascii="仿宋_GB2312" w:hAnsi="仿宋_GB2312" w:eastAsia="仿宋_GB2312" w:cs="仿宋_GB2312"/>
                <w:b/>
                <w:bCs/>
                <w:color w:val="auto"/>
                <w:sz w:val="28"/>
                <w:szCs w:val="28"/>
                <w:highlight w:val="none"/>
                <w:lang w:val="en-US" w:eastAsia="zh-CN"/>
              </w:rPr>
              <w:t>否则视为未实质性响应作废标处理。</w:t>
            </w:r>
          </w:p>
          <w:p w14:paraId="62BA73C2">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4.投标报价不得高于最高限价，</w:t>
            </w:r>
            <w:r>
              <w:rPr>
                <w:rFonts w:hint="default" w:ascii="仿宋_GB2312" w:hAnsi="仿宋_GB2312" w:eastAsia="仿宋_GB2312" w:cs="仿宋_GB2312"/>
                <w:b/>
                <w:bCs/>
                <w:color w:val="auto"/>
                <w:sz w:val="28"/>
                <w:szCs w:val="28"/>
                <w:highlight w:val="none"/>
                <w:lang w:val="en-US" w:eastAsia="zh-CN"/>
              </w:rPr>
              <w:t>否则视为未实质性响应作废标处理。</w:t>
            </w:r>
          </w:p>
          <w:p w14:paraId="74886AF1">
            <w:pPr>
              <w:keepLines w:val="0"/>
              <w:pageBreakBefore w:val="0"/>
              <w:widowControl w:val="0"/>
              <w:kinsoku/>
              <w:wordWrap/>
              <w:overflowPunct/>
              <w:topLinePunct w:val="0"/>
              <w:autoSpaceDE w:val="0"/>
              <w:autoSpaceDN w:val="0"/>
              <w:bidi w:val="0"/>
              <w:spacing w:after="0" w:line="480" w:lineRule="exact"/>
              <w:ind w:firstLine="280" w:firstLineChars="100"/>
              <w:jc w:val="both"/>
              <w:textAlignment w:val="auto"/>
              <w:outlineLvl w:val="1"/>
              <w:rPr>
                <w:rFonts w:hint="default" w:ascii="仿宋_GB2312" w:hAnsi="仿宋_GB2312" w:eastAsia="仿宋_GB2312" w:cs="仿宋_GB2312"/>
                <w:b/>
                <w:bCs/>
                <w:color w:val="auto"/>
                <w:sz w:val="28"/>
                <w:szCs w:val="28"/>
                <w:highlight w:val="none"/>
                <w:lang w:val="en-US" w:eastAsia="zh-CN"/>
              </w:rPr>
            </w:pPr>
            <w:r>
              <w:rPr>
                <w:rFonts w:hint="default" w:ascii="仿宋_GB2312" w:hAnsi="仿宋_GB2312" w:eastAsia="仿宋_GB2312" w:cs="仿宋_GB2312"/>
                <w:b w:val="0"/>
                <w:bCs w:val="0"/>
                <w:color w:val="auto"/>
                <w:sz w:val="28"/>
                <w:szCs w:val="28"/>
                <w:highlight w:val="none"/>
                <w:lang w:val="en-US" w:eastAsia="zh-CN"/>
              </w:rPr>
              <w:t>5.《开标一览表明细》列明的内容必须按要求填写，未按照本表要求如实填写或填写错误的，所产生的一切后果由投标人承担。</w:t>
            </w:r>
          </w:p>
        </w:tc>
      </w:tr>
    </w:tbl>
    <w:p w14:paraId="53B02045">
      <w:pPr>
        <w:keepLines w:val="0"/>
        <w:pageBreakBefore w:val="0"/>
        <w:widowControl w:val="0"/>
        <w:kinsoku/>
        <w:wordWrap/>
        <w:overflowPunct/>
        <w:topLinePunct w:val="0"/>
        <w:autoSpaceDE w:val="0"/>
        <w:autoSpaceDN w:val="0"/>
        <w:bidi w:val="0"/>
        <w:spacing w:after="0" w:line="480" w:lineRule="exact"/>
        <w:ind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投标人自行测算对各项费用的报价，中标后每月需提供员工工资花名册（工资支付台账）及社保缴纳凭证备查。如出现实际支付的（人员工资及社保费用）人员费用与投标文件《开标一览表明细》中人员的数量、社会保险费数量不足的，采购人在支付物业服务费时将进行相应的扣减。</w:t>
      </w:r>
    </w:p>
    <w:p w14:paraId="11AA0390">
      <w:pPr>
        <w:keepLines w:val="0"/>
        <w:pageBreakBefore w:val="0"/>
        <w:widowControl w:val="0"/>
        <w:kinsoku/>
        <w:wordWrap/>
        <w:overflowPunct/>
        <w:topLinePunct w:val="0"/>
        <w:autoSpaceDE w:val="0"/>
        <w:autoSpaceDN w:val="0"/>
        <w:bidi w:val="0"/>
        <w:spacing w:after="0" w:line="480" w:lineRule="exact"/>
        <w:ind w:firstLine="562" w:firstLineChars="200"/>
        <w:jc w:val="both"/>
        <w:textAlignment w:val="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评标委员会认为投标人的报价明显低于其他通过符合性审查投标人的报价，有可能影响服务质量或者不能诚信履约的，应当要求其在评标现场合理的时间内提供书面的成本分析说明（包含人员成本分析、购置机械设备成本分析、服务耗材成本分析、其他费用成本分析），必要时提交相关证明材料；投标人不能证明其报价合理性的，评标委员会应当将其作废标处理。</w:t>
      </w:r>
    </w:p>
    <w:p w14:paraId="56C12620">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如中标后，</w:t>
      </w:r>
      <w:r>
        <w:rPr>
          <w:rFonts w:hint="eastAsia" w:ascii="仿宋_GB2312" w:hAnsi="仿宋_GB2312" w:eastAsia="仿宋_GB2312" w:cs="仿宋_GB2312"/>
          <w:color w:val="auto"/>
          <w:sz w:val="28"/>
          <w:szCs w:val="28"/>
          <w:highlight w:val="none"/>
          <w:lang w:val="en-US" w:eastAsia="zh-CN"/>
        </w:rPr>
        <w:t>中标供应商</w:t>
      </w:r>
      <w:r>
        <w:rPr>
          <w:rFonts w:hint="eastAsia" w:ascii="仿宋_GB2312" w:hAnsi="仿宋_GB2312" w:eastAsia="仿宋_GB2312" w:cs="仿宋_GB2312"/>
          <w:color w:val="auto"/>
          <w:sz w:val="28"/>
          <w:szCs w:val="28"/>
          <w:highlight w:val="none"/>
        </w:rPr>
        <w:t>因物业服务费用问题无法正常履约的，视为虚假响应，采购人有权随时终止合同，并将相关情况上报</w:t>
      </w:r>
      <w:r>
        <w:rPr>
          <w:rFonts w:hint="eastAsia" w:ascii="仿宋_GB2312" w:hAnsi="仿宋_GB2312" w:eastAsia="仿宋_GB2312" w:cs="仿宋_GB2312"/>
          <w:color w:val="auto"/>
          <w:sz w:val="28"/>
          <w:szCs w:val="28"/>
          <w:highlight w:val="none"/>
          <w:lang w:val="en-US" w:eastAsia="zh-CN"/>
        </w:rPr>
        <w:t>至</w:t>
      </w:r>
      <w:r>
        <w:rPr>
          <w:rFonts w:hint="eastAsia" w:ascii="仿宋_GB2312" w:hAnsi="仿宋_GB2312" w:eastAsia="仿宋_GB2312" w:cs="仿宋_GB2312"/>
          <w:color w:val="auto"/>
          <w:sz w:val="28"/>
          <w:szCs w:val="28"/>
          <w:highlight w:val="none"/>
        </w:rPr>
        <w:t>财政部门。</w:t>
      </w:r>
    </w:p>
    <w:p w14:paraId="6A49D2C0">
      <w:pPr>
        <w:keepLines w:val="0"/>
        <w:pageBreakBefore w:val="0"/>
        <w:widowControl w:val="0"/>
        <w:kinsoku/>
        <w:wordWrap/>
        <w:overflowPunct/>
        <w:topLinePunct w:val="0"/>
        <w:bidi w:val="0"/>
        <w:spacing w:after="0" w:line="480" w:lineRule="exact"/>
        <w:ind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（八）保密要求</w:t>
      </w:r>
    </w:p>
    <w:p w14:paraId="654019A6">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1.建立保密管理制度。制度内容应当包括但不限于：①明确重点要害岗位保密职责。②对涉密工作岗位的保密要求。</w:t>
      </w:r>
    </w:p>
    <w:p w14:paraId="46ECCD21">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2.根据采购人要求与涉密工作岗位的服务人员签订保密协议。保密协议应当向采购人报备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p>
    <w:p w14:paraId="62B1D497">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3.每季度至少开展 1 次对服务人员进行保密、思想政治教育的培训，提高服务人员保密意识和思想政治意识。新入职员工应当接受保密、思想政治教育培训，进行必要的人员经历审查，合格后签订保密协议方可上岗。</w:t>
      </w:r>
    </w:p>
    <w:p w14:paraId="6CC4747D">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4.发现服务人员违法违规或重大过失，及时报告采购人，并采取必要补救措施。</w:t>
      </w:r>
    </w:p>
    <w:p w14:paraId="336220AC">
      <w:pPr>
        <w:keepLines w:val="0"/>
        <w:pageBreakBefore w:val="0"/>
        <w:widowControl w:val="0"/>
        <w:kinsoku/>
        <w:wordWrap/>
        <w:overflowPunct/>
        <w:topLinePunct w:val="0"/>
        <w:bidi w:val="0"/>
        <w:spacing w:after="0" w:line="480" w:lineRule="exact"/>
        <w:ind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（九）其他要求</w:t>
      </w:r>
    </w:p>
    <w:p w14:paraId="30C0A22C">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投标人须在投标文件中提供</w:t>
      </w:r>
      <w:r>
        <w:rPr>
          <w:rFonts w:hint="eastAsia" w:ascii="仿宋_GB2312" w:hAnsi="仿宋_GB2312" w:eastAsia="仿宋_GB2312" w:cs="仿宋_GB2312"/>
          <w:color w:val="auto"/>
          <w:sz w:val="28"/>
          <w:szCs w:val="28"/>
          <w:highlight w:val="none"/>
          <w:shd w:val="clear" w:color="auto" w:fill="FFFFFF"/>
        </w:rPr>
        <w:t>物业管理服务方案，包括但不限于以下内容：采购项目的物业服务整体实施方案、秩序维护服务方案、卫生保洁方案、绿化养护方案、设施运行及维护管理方案、会务服务方案、病媒防制（疫情防控）方案、各类处理突发预案、内部规章管理制度（包括人员考核制度，培训制度等)以及本项目涉及的其他有关服务方案。</w:t>
      </w:r>
      <w:r>
        <w:rPr>
          <w:rFonts w:hint="eastAsia" w:ascii="仿宋_GB2312" w:hAnsi="仿宋_GB2312" w:eastAsia="仿宋_GB2312" w:cs="仿宋_GB2312"/>
          <w:b/>
          <w:bCs/>
          <w:color w:val="auto"/>
          <w:sz w:val="28"/>
          <w:szCs w:val="28"/>
          <w:highlight w:val="none"/>
          <w:shd w:val="clear" w:color="auto" w:fill="FFFFFF"/>
          <w:lang w:eastAsia="zh-CN"/>
        </w:rPr>
        <w:t>（</w:t>
      </w:r>
      <w:r>
        <w:rPr>
          <w:rFonts w:hint="eastAsia" w:ascii="仿宋_GB2312" w:hAnsi="仿宋_GB2312" w:eastAsia="仿宋_GB2312" w:cs="仿宋_GB2312"/>
          <w:b/>
          <w:bCs/>
          <w:color w:val="auto"/>
          <w:sz w:val="28"/>
          <w:szCs w:val="28"/>
          <w:highlight w:val="none"/>
          <w:shd w:val="clear" w:color="auto" w:fill="FFFFFF"/>
          <w:lang w:val="en-US" w:eastAsia="zh-CN"/>
        </w:rPr>
        <w:t>适用最低评标价法</w:t>
      </w:r>
      <w:r>
        <w:rPr>
          <w:rFonts w:hint="eastAsia" w:ascii="仿宋_GB2312" w:hAnsi="仿宋_GB2312" w:eastAsia="仿宋_GB2312" w:cs="仿宋_GB2312"/>
          <w:b/>
          <w:bCs/>
          <w:color w:val="auto"/>
          <w:sz w:val="28"/>
          <w:szCs w:val="28"/>
          <w:highlight w:val="none"/>
          <w:shd w:val="clear" w:color="auto" w:fill="FFFFFF"/>
          <w:lang w:eastAsia="zh-CN"/>
        </w:rPr>
        <w:t>）</w:t>
      </w:r>
    </w:p>
    <w:p w14:paraId="333DEDF8">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b/>
          <w:color w:val="auto"/>
          <w:sz w:val="28"/>
          <w:szCs w:val="28"/>
          <w:highlight w:val="none"/>
        </w:rPr>
      </w:pPr>
    </w:p>
    <w:p w14:paraId="084E0B7E">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三、商务要求</w:t>
      </w:r>
    </w:p>
    <w:p w14:paraId="7C240530">
      <w:pPr>
        <w:pStyle w:val="13"/>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auto"/>
          <w:sz w:val="28"/>
          <w:szCs w:val="28"/>
          <w:highlight w:val="none"/>
        </w:rPr>
        <w:t>1.服务期限：</w:t>
      </w:r>
      <w:r>
        <w:rPr>
          <w:rFonts w:hint="eastAsia" w:ascii="仿宋_GB2312" w:hAnsi="仿宋_GB2312" w:eastAsia="仿宋_GB2312" w:cs="仿宋_GB2312"/>
          <w:color w:val="auto"/>
          <w:sz w:val="28"/>
          <w:szCs w:val="28"/>
          <w:highlight w:val="none"/>
          <w:lang w:val="en-US" w:eastAsia="zh-CN"/>
        </w:rPr>
        <w:t>一年。</w:t>
      </w:r>
    </w:p>
    <w:p w14:paraId="511328FA">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宋体"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2.付款方式：</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季</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b/>
          <w:color w:val="auto"/>
          <w:sz w:val="28"/>
          <w:szCs w:val="28"/>
          <w:highlight w:val="none"/>
        </w:rPr>
        <w:t>每个月月初根据上个月考核情况支付上个月物业服务管理费用</w:t>
      </w:r>
      <w:r>
        <w:rPr>
          <w:rFonts w:hint="eastAsia" w:ascii="仿宋_GB2312" w:hAnsi="仿宋_GB2312" w:eastAsia="仿宋_GB2312" w:cs="仿宋_GB2312"/>
          <w:b/>
          <w:color w:val="auto"/>
          <w:sz w:val="28"/>
          <w:szCs w:val="28"/>
          <w:highlight w:val="none"/>
          <w:lang w:eastAsia="zh-CN"/>
        </w:rPr>
        <w:t>。</w:t>
      </w:r>
    </w:p>
    <w:p w14:paraId="58163E41">
      <w:pPr>
        <w:spacing w:after="0" w:line="480" w:lineRule="exact"/>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rPr>
        <w:t>3.业绩：</w:t>
      </w:r>
      <w:r>
        <w:rPr>
          <w:rFonts w:hint="eastAsia" w:ascii="仿宋_GB2312" w:hAnsi="仿宋_GB2312" w:eastAsia="仿宋_GB2312" w:cs="仿宋_GB2312"/>
          <w:color w:val="auto"/>
          <w:sz w:val="28"/>
          <w:szCs w:val="28"/>
          <w:highlight w:val="none"/>
        </w:rPr>
        <w:t>提供2个(近三年)至本项目开标之日（合同签订日期）</w:t>
      </w:r>
      <w:r>
        <w:rPr>
          <w:rFonts w:hint="eastAsia" w:ascii="仿宋_GB2312" w:hAnsi="仿宋_GB2312" w:eastAsia="仿宋_GB2312" w:cs="仿宋_GB2312"/>
          <w:color w:val="auto"/>
          <w:sz w:val="28"/>
          <w:szCs w:val="28"/>
          <w:highlight w:val="none"/>
          <w:lang w:val="en-US" w:eastAsia="zh-CN"/>
        </w:rPr>
        <w:t>止办公场所类</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须符合财政部办公厅关于印发《物业管理服务政府采购需求标准（办公场所类）（试行）的规定》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的业绩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以分公司名义参与投标的可提供总公司的业绩，</w:t>
      </w:r>
      <w:r>
        <w:rPr>
          <w:rFonts w:hint="eastAsia" w:ascii="仿宋_GB2312" w:hAnsi="仿宋_GB2312" w:eastAsia="仿宋_GB2312" w:cs="仿宋_GB2312"/>
          <w:b/>
          <w:color w:val="auto"/>
          <w:sz w:val="28"/>
          <w:szCs w:val="28"/>
          <w:highlight w:val="none"/>
        </w:rPr>
        <w:t>同一项目不同年份的合同按一份业绩计算，同一业主在同一招标/采购项目中续签的合同不重复计</w:t>
      </w:r>
      <w:r>
        <w:rPr>
          <w:rFonts w:hint="eastAsia" w:ascii="仿宋_GB2312" w:hAnsi="仿宋_GB2312" w:eastAsia="仿宋_GB2312" w:cs="仿宋_GB2312"/>
          <w:b/>
          <w:color w:val="auto"/>
          <w:sz w:val="28"/>
          <w:szCs w:val="28"/>
          <w:highlight w:val="none"/>
          <w:lang w:val="en-US" w:eastAsia="zh-CN"/>
        </w:rPr>
        <w:t>算</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bidi="ar-SA"/>
        </w:rPr>
        <w:t>合同须包含秩序维护服务、卫生保洁服务、绿化养护服务、设施设备维护、宿管服务（适合学校）、物资运输服务（适合医疗机构）、清洗消毒服务（适合医疗机构）。</w:t>
      </w:r>
      <w:r>
        <w:rPr>
          <w:rFonts w:hint="eastAsia" w:ascii="仿宋_GB2312" w:hAnsi="仿宋_GB2312" w:eastAsia="仿宋_GB2312" w:cs="仿宋_GB2312"/>
          <w:b/>
          <w:bCs/>
          <w:color w:val="auto"/>
          <w:sz w:val="28"/>
          <w:szCs w:val="28"/>
          <w:highlight w:val="none"/>
        </w:rPr>
        <w:t>提供</w:t>
      </w:r>
      <w:r>
        <w:rPr>
          <w:rFonts w:hint="eastAsia" w:ascii="仿宋_GB2312" w:hAnsi="仿宋_GB2312" w:eastAsia="仿宋_GB2312" w:cs="仿宋_GB2312"/>
          <w:b/>
          <w:bCs/>
          <w:color w:val="auto"/>
          <w:sz w:val="28"/>
          <w:szCs w:val="28"/>
          <w:highlight w:val="none"/>
          <w:lang w:val="en-US" w:eastAsia="zh-CN"/>
        </w:rPr>
        <w:t>中标（成交）通知书</w:t>
      </w:r>
      <w:r>
        <w:rPr>
          <w:rFonts w:hint="eastAsia" w:ascii="仿宋_GB2312" w:hAnsi="仿宋_GB2312" w:eastAsia="仿宋_GB2312" w:cs="仿宋_GB2312"/>
          <w:b/>
          <w:bCs/>
          <w:color w:val="auto"/>
          <w:sz w:val="28"/>
          <w:szCs w:val="28"/>
          <w:highlight w:val="none"/>
        </w:rPr>
        <w:t>复印件或扫描件</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合同复印件或扫描件加盖投标人公章。</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适用最低评标价法</w:t>
      </w:r>
      <w:r>
        <w:rPr>
          <w:rFonts w:hint="eastAsia" w:ascii="仿宋_GB2312" w:hAnsi="仿宋_GB2312" w:eastAsia="仿宋_GB2312" w:cs="仿宋_GB2312"/>
          <w:b/>
          <w:bCs/>
          <w:color w:val="auto"/>
          <w:sz w:val="28"/>
          <w:szCs w:val="28"/>
          <w:highlight w:val="none"/>
          <w:lang w:eastAsia="zh-CN"/>
        </w:rPr>
        <w:t>）</w:t>
      </w:r>
    </w:p>
    <w:p w14:paraId="0C2C7C8B">
      <w:pPr>
        <w:keepLines w:val="0"/>
        <w:pageBreakBefore w:val="0"/>
        <w:widowControl w:val="0"/>
        <w:kinsoku/>
        <w:wordWrap/>
        <w:overflowPunct/>
        <w:topLinePunct w:val="0"/>
        <w:bidi w:val="0"/>
        <w:spacing w:after="0" w:line="480" w:lineRule="exact"/>
        <w:ind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4.进场时间：</w:t>
      </w:r>
      <w:r>
        <w:rPr>
          <w:rFonts w:hint="eastAsia" w:ascii="仿宋_GB2312" w:hAnsi="仿宋_GB2312" w:eastAsia="仿宋_GB2312" w:cs="仿宋_GB2312"/>
          <w:color w:val="auto"/>
          <w:sz w:val="28"/>
          <w:szCs w:val="28"/>
          <w:highlight w:val="none"/>
          <w:shd w:val="clear" w:color="auto" w:fill="FFFFFF"/>
        </w:rPr>
        <w:t>按采购人要求时间进场服务。</w:t>
      </w:r>
    </w:p>
    <w:p w14:paraId="4D6F91D2">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51202028">
      <w:pPr>
        <w:keepLines w:val="0"/>
        <w:pageBreakBefore w:val="0"/>
        <w:widowControl w:val="0"/>
        <w:kinsoku/>
        <w:wordWrap/>
        <w:overflowPunct/>
        <w:topLinePunct w:val="0"/>
        <w:autoSpaceDE w:val="0"/>
        <w:autoSpaceDN w:val="0"/>
        <w:bidi w:val="0"/>
        <w:spacing w:after="0" w:line="48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物业管理服务监督管理考核评价办法</w:t>
      </w:r>
    </w:p>
    <w:p w14:paraId="2B053056">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第一条</w:t>
      </w:r>
      <w:r>
        <w:rPr>
          <w:rFonts w:hint="eastAsia" w:ascii="仿宋_GB2312" w:hAnsi="仿宋_GB2312" w:eastAsia="仿宋_GB2312" w:cs="仿宋_GB2312"/>
          <w:color w:val="auto"/>
          <w:sz w:val="28"/>
          <w:szCs w:val="28"/>
          <w:highlight w:val="none"/>
        </w:rPr>
        <w:t>为加强物业管理服务工作的监管考核，规范物业管理服务行为，提高服务质量，根据国家、省、市物业管理有关法律法规，以及物业服务采购文件、合同的要求和约定，结合工作实际，制定本办法。</w:t>
      </w:r>
    </w:p>
    <w:p w14:paraId="7033C555">
      <w:pPr>
        <w:keepLines w:val="0"/>
        <w:pageBreakBefore w:val="0"/>
        <w:widowControl w:val="0"/>
        <w:kinsoku/>
        <w:wordWrap/>
        <w:overflowPunct/>
        <w:topLinePunct w:val="0"/>
        <w:bidi w:val="0"/>
        <w:spacing w:after="0" w:line="480" w:lineRule="exact"/>
        <w:ind w:firstLine="551"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第二条</w:t>
      </w:r>
      <w:r>
        <w:rPr>
          <w:rFonts w:hint="eastAsia" w:ascii="仿宋_GB2312" w:hAnsi="仿宋_GB2312" w:eastAsia="仿宋_GB2312" w:cs="仿宋_GB2312"/>
          <w:color w:val="auto"/>
          <w:sz w:val="28"/>
          <w:szCs w:val="28"/>
          <w:highlight w:val="none"/>
        </w:rPr>
        <w:t>本办法考核由</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牵头组织实施，对物业服务监管做到“五每”，即“每日巡查，每周覆盖，每月打分，每半年测评，每年评价”。</w:t>
      </w:r>
    </w:p>
    <w:p w14:paraId="295B2697">
      <w:pPr>
        <w:keepLines w:val="0"/>
        <w:pageBreakBefore w:val="0"/>
        <w:widowControl w:val="0"/>
        <w:kinsoku/>
        <w:wordWrap/>
        <w:overflowPunct/>
        <w:topLinePunct w:val="0"/>
        <w:bidi w:val="0"/>
        <w:spacing w:after="0" w:line="480" w:lineRule="exact"/>
        <w:ind w:firstLine="562"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第三条</w:t>
      </w:r>
      <w:r>
        <w:rPr>
          <w:rFonts w:hint="eastAsia" w:ascii="仿宋_GB2312" w:hAnsi="仿宋_GB2312" w:eastAsia="仿宋_GB2312" w:cs="仿宋_GB2312"/>
          <w:color w:val="auto"/>
          <w:sz w:val="28"/>
          <w:szCs w:val="28"/>
          <w:highlight w:val="none"/>
        </w:rPr>
        <w:t>监督考核工作遵守以下基本原则</w:t>
      </w:r>
    </w:p>
    <w:p w14:paraId="377AC0D8">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1.公开、公平、公正的原则；</w:t>
      </w:r>
    </w:p>
    <w:p w14:paraId="4F4707AF">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2.相互尊重、共同协商、利于服务的原则；</w:t>
      </w:r>
    </w:p>
    <w:p w14:paraId="17A81CAE">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3.实事求是、有奖有罚、奖惩有据的原则。</w:t>
      </w:r>
    </w:p>
    <w:p w14:paraId="40EE917D">
      <w:pPr>
        <w:keepLines w:val="0"/>
        <w:pageBreakBefore w:val="0"/>
        <w:widowControl w:val="0"/>
        <w:kinsoku/>
        <w:wordWrap/>
        <w:overflowPunct/>
        <w:topLinePunct w:val="0"/>
        <w:bidi w:val="0"/>
        <w:spacing w:after="0" w:line="480" w:lineRule="exact"/>
        <w:ind w:firstLine="551"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第四条</w:t>
      </w:r>
      <w:r>
        <w:rPr>
          <w:rFonts w:hint="eastAsia" w:ascii="仿宋_GB2312" w:hAnsi="仿宋_GB2312" w:eastAsia="仿宋_GB2312" w:cs="仿宋_GB2312"/>
          <w:color w:val="auto"/>
          <w:sz w:val="28"/>
          <w:szCs w:val="28"/>
          <w:highlight w:val="none"/>
        </w:rPr>
        <w:t>月度考核</w:t>
      </w:r>
    </w:p>
    <w:p w14:paraId="0E25621C">
      <w:pPr>
        <w:keepLines w:val="0"/>
        <w:pageBreakBefore w:val="0"/>
        <w:widowControl w:val="0"/>
        <w:kinsoku/>
        <w:wordWrap/>
        <w:overflowPunct/>
        <w:topLinePunct w:val="0"/>
        <w:bidi w:val="0"/>
        <w:spacing w:after="0" w:line="480" w:lineRule="exact"/>
        <w:ind w:firstLine="548"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1.月度考核实行打分制，由</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在每</w:t>
      </w:r>
      <w:r>
        <w:rPr>
          <w:rFonts w:hint="eastAsia" w:ascii="仿宋_GB2312" w:hAnsi="仿宋_GB2312" w:eastAsia="仿宋_GB2312" w:cs="仿宋_GB2312"/>
          <w:color w:val="auto"/>
          <w:sz w:val="28"/>
          <w:szCs w:val="28"/>
          <w:highlight w:val="none"/>
          <w:lang w:val="en-US" w:eastAsia="zh-CN"/>
        </w:rPr>
        <w:t>季度末</w:t>
      </w:r>
      <w:r>
        <w:rPr>
          <w:rFonts w:hint="eastAsia" w:ascii="仿宋_GB2312" w:hAnsi="仿宋_GB2312" w:eastAsia="仿宋_GB2312" w:cs="仿宋_GB2312"/>
          <w:color w:val="auto"/>
          <w:sz w:val="28"/>
          <w:szCs w:val="28"/>
          <w:highlight w:val="none"/>
        </w:rPr>
        <w:t>对照本办法《物业服务考核细则》，对物业公司当月提供的服务进行打分，总分100分。</w:t>
      </w:r>
    </w:p>
    <w:p w14:paraId="4938648A">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月度考核范围。包括物业公司基础管理、工程日常维护维修、公用设备管理、共用设施管理、保安及车辆管理、室内卫生保洁管理、室外环境管理、节能管理、会议服务等方面项目，采取扣分制，每个项目扣分按权重比例折算累计。</w:t>
      </w:r>
    </w:p>
    <w:p w14:paraId="56DCE4EA">
      <w:pPr>
        <w:keepLines w:val="0"/>
        <w:pageBreakBefore w:val="0"/>
        <w:widowControl w:val="0"/>
        <w:kinsoku/>
        <w:wordWrap/>
        <w:overflowPunct/>
        <w:topLinePunct w:val="0"/>
        <w:bidi w:val="0"/>
        <w:spacing w:after="0" w:line="480" w:lineRule="exact"/>
        <w:ind w:firstLine="548"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3.考核以日常巡查和月度抽查相结合的方式进行，</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对巡查和抽查中发现的问题，以及区域内单位或人员的投诉等，予以登记，纳入月度考核评分。</w:t>
      </w:r>
    </w:p>
    <w:p w14:paraId="68AC2736">
      <w:pPr>
        <w:keepLines w:val="0"/>
        <w:pageBreakBefore w:val="0"/>
        <w:widowControl w:val="0"/>
        <w:kinsoku/>
        <w:wordWrap/>
        <w:overflowPunct/>
        <w:topLinePunct w:val="0"/>
        <w:bidi w:val="0"/>
        <w:spacing w:after="0" w:line="480" w:lineRule="exact"/>
        <w:ind w:firstLine="548"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4.物业公司应每月参照考核细则进行自我考核评分，并于每月底向</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提交月度服务报告，供月度考核评分做参考。</w:t>
      </w:r>
    </w:p>
    <w:p w14:paraId="7CB9BA9D">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5.辖区内各单位和人员可按照本办法，对物业公司的服务情况进行全程监督，如发现问题及时向办公室反馈。</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发现问题或接到投诉，向物业公司发出《整改通知书》，物业公司应在规定时间内整改到位，未按期整改到位予以相应扣分。</w:t>
      </w:r>
    </w:p>
    <w:p w14:paraId="7FDCFCF8">
      <w:pPr>
        <w:keepLines w:val="0"/>
        <w:pageBreakBefore w:val="0"/>
        <w:widowControl w:val="0"/>
        <w:kinsoku/>
        <w:wordWrap/>
        <w:overflowPunct/>
        <w:topLinePunct w:val="0"/>
        <w:bidi w:val="0"/>
        <w:spacing w:after="0" w:line="480" w:lineRule="exact"/>
        <w:ind w:firstLine="551"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第五条</w:t>
      </w:r>
      <w:r>
        <w:rPr>
          <w:rFonts w:hint="eastAsia" w:ascii="仿宋_GB2312" w:hAnsi="仿宋_GB2312" w:eastAsia="仿宋_GB2312" w:cs="仿宋_GB2312"/>
          <w:color w:val="auto"/>
          <w:sz w:val="28"/>
          <w:szCs w:val="28"/>
          <w:highlight w:val="none"/>
        </w:rPr>
        <w:t xml:space="preserve"> 满意度测评</w:t>
      </w:r>
    </w:p>
    <w:p w14:paraId="6D78CB06">
      <w:pPr>
        <w:keepLines w:val="0"/>
        <w:pageBreakBefore w:val="0"/>
        <w:widowControl w:val="0"/>
        <w:kinsoku/>
        <w:wordWrap/>
        <w:overflowPunct/>
        <w:topLinePunct w:val="0"/>
        <w:bidi w:val="0"/>
        <w:spacing w:after="0" w:line="480" w:lineRule="exact"/>
        <w:ind w:firstLine="548"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职能</w:t>
      </w:r>
      <w:r>
        <w:rPr>
          <w:rFonts w:hint="eastAsia" w:ascii="仿宋_GB2312" w:hAnsi="仿宋_GB2312" w:eastAsia="仿宋_GB2312" w:cs="仿宋_GB2312"/>
          <w:color w:val="auto"/>
          <w:sz w:val="28"/>
          <w:szCs w:val="28"/>
          <w:highlight w:val="none"/>
        </w:rPr>
        <w:t>科室在每年组织各相关科室单位对物业公司的物业服务满意度进行评测，满分100分，取平均值记为该次服务满意度测评分。</w:t>
      </w:r>
    </w:p>
    <w:p w14:paraId="6F62C668">
      <w:pPr>
        <w:keepLines w:val="0"/>
        <w:pageBreakBefore w:val="0"/>
        <w:widowControl w:val="0"/>
        <w:kinsoku/>
        <w:wordWrap/>
        <w:overflowPunct/>
        <w:topLinePunct w:val="0"/>
        <w:bidi w:val="0"/>
        <w:spacing w:after="0" w:line="480" w:lineRule="exact"/>
        <w:ind w:firstLine="551"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第六条</w:t>
      </w:r>
      <w:r>
        <w:rPr>
          <w:rFonts w:hint="eastAsia" w:ascii="仿宋_GB2312" w:hAnsi="仿宋_GB2312" w:eastAsia="仿宋_GB2312" w:cs="仿宋_GB2312"/>
          <w:color w:val="auto"/>
          <w:sz w:val="28"/>
          <w:szCs w:val="28"/>
          <w:highlight w:val="none"/>
        </w:rPr>
        <w:t>奖惩机制</w:t>
      </w:r>
    </w:p>
    <w:p w14:paraId="392166DB">
      <w:pPr>
        <w:keepLines w:val="0"/>
        <w:pageBreakBefore w:val="0"/>
        <w:widowControl w:val="0"/>
        <w:kinsoku/>
        <w:wordWrap/>
        <w:overflowPunct/>
        <w:topLinePunct w:val="0"/>
        <w:bidi w:val="0"/>
        <w:spacing w:after="0" w:line="480" w:lineRule="exact"/>
        <w:ind w:firstLine="548" w:firstLineChars="196"/>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1.月度考核得分与物业服务费挂钩：</w:t>
      </w:r>
    </w:p>
    <w:tbl>
      <w:tblPr>
        <w:tblStyle w:val="8"/>
        <w:tblW w:w="8696" w:type="dxa"/>
        <w:jc w:val="center"/>
        <w:tblLayout w:type="fixed"/>
        <w:tblCellMar>
          <w:top w:w="0" w:type="dxa"/>
          <w:left w:w="108" w:type="dxa"/>
          <w:bottom w:w="0" w:type="dxa"/>
          <w:right w:w="108" w:type="dxa"/>
        </w:tblCellMar>
      </w:tblPr>
      <w:tblGrid>
        <w:gridCol w:w="2811"/>
        <w:gridCol w:w="5885"/>
      </w:tblGrid>
      <w:tr w14:paraId="64835EB0">
        <w:tblPrEx>
          <w:tblCellMar>
            <w:top w:w="0" w:type="dxa"/>
            <w:left w:w="108" w:type="dxa"/>
            <w:bottom w:w="0" w:type="dxa"/>
            <w:right w:w="108" w:type="dxa"/>
          </w:tblCellMar>
        </w:tblPrEx>
        <w:trPr>
          <w:trHeight w:val="388" w:hRule="atLeast"/>
          <w:jc w:val="center"/>
        </w:trPr>
        <w:tc>
          <w:tcPr>
            <w:tcW w:w="2811" w:type="dxa"/>
            <w:tcBorders>
              <w:top w:val="single" w:color="auto" w:sz="8" w:space="0"/>
              <w:left w:val="single" w:color="auto" w:sz="4" w:space="0"/>
              <w:bottom w:val="single" w:color="auto" w:sz="4" w:space="0"/>
              <w:right w:val="single" w:color="auto" w:sz="4" w:space="0"/>
            </w:tcBorders>
            <w:noWrap/>
            <w:vAlign w:val="center"/>
          </w:tcPr>
          <w:p w14:paraId="57AF74F6">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月度考核得分</w:t>
            </w:r>
          </w:p>
        </w:tc>
        <w:tc>
          <w:tcPr>
            <w:tcW w:w="5885" w:type="dxa"/>
            <w:tcBorders>
              <w:top w:val="single" w:color="auto" w:sz="8" w:space="0"/>
              <w:left w:val="nil"/>
              <w:bottom w:val="single" w:color="auto" w:sz="4" w:space="0"/>
              <w:right w:val="single" w:color="auto" w:sz="8" w:space="0"/>
            </w:tcBorders>
            <w:noWrap/>
            <w:vAlign w:val="center"/>
          </w:tcPr>
          <w:p w14:paraId="37B7A7B0">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当月物业费用支付标准</w:t>
            </w:r>
          </w:p>
        </w:tc>
      </w:tr>
      <w:tr w14:paraId="470B96A5">
        <w:tblPrEx>
          <w:tblCellMar>
            <w:top w:w="0" w:type="dxa"/>
            <w:left w:w="108" w:type="dxa"/>
            <w:bottom w:w="0" w:type="dxa"/>
            <w:right w:w="108" w:type="dxa"/>
          </w:tblCellMar>
        </w:tblPrEx>
        <w:trPr>
          <w:trHeight w:val="469" w:hRule="atLeast"/>
          <w:jc w:val="center"/>
        </w:trPr>
        <w:tc>
          <w:tcPr>
            <w:tcW w:w="2811" w:type="dxa"/>
            <w:tcBorders>
              <w:top w:val="nil"/>
              <w:left w:val="single" w:color="auto" w:sz="4" w:space="0"/>
              <w:bottom w:val="single" w:color="auto" w:sz="4" w:space="0"/>
              <w:right w:val="single" w:color="auto" w:sz="4" w:space="0"/>
            </w:tcBorders>
            <w:noWrap/>
            <w:vAlign w:val="center"/>
          </w:tcPr>
          <w:p w14:paraId="187A908A">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考核分≥80</w:t>
            </w:r>
          </w:p>
        </w:tc>
        <w:tc>
          <w:tcPr>
            <w:tcW w:w="5885" w:type="dxa"/>
            <w:tcBorders>
              <w:top w:val="nil"/>
              <w:left w:val="nil"/>
              <w:bottom w:val="single" w:color="auto" w:sz="4" w:space="0"/>
              <w:right w:val="single" w:color="auto" w:sz="8" w:space="0"/>
            </w:tcBorders>
            <w:noWrap/>
            <w:vAlign w:val="center"/>
          </w:tcPr>
          <w:p w14:paraId="7EA06671">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全额支付</w:t>
            </w:r>
          </w:p>
        </w:tc>
      </w:tr>
      <w:tr w14:paraId="457BD185">
        <w:tblPrEx>
          <w:tblCellMar>
            <w:top w:w="0" w:type="dxa"/>
            <w:left w:w="108" w:type="dxa"/>
            <w:bottom w:w="0" w:type="dxa"/>
            <w:right w:w="108" w:type="dxa"/>
          </w:tblCellMar>
        </w:tblPrEx>
        <w:trPr>
          <w:trHeight w:val="445" w:hRule="atLeast"/>
          <w:jc w:val="center"/>
        </w:trPr>
        <w:tc>
          <w:tcPr>
            <w:tcW w:w="2811" w:type="dxa"/>
            <w:tcBorders>
              <w:top w:val="nil"/>
              <w:left w:val="single" w:color="auto" w:sz="4" w:space="0"/>
              <w:bottom w:val="single" w:color="auto" w:sz="4" w:space="0"/>
              <w:right w:val="single" w:color="auto" w:sz="4" w:space="0"/>
            </w:tcBorders>
            <w:noWrap/>
            <w:vAlign w:val="center"/>
          </w:tcPr>
          <w:p w14:paraId="728A8B9A">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70≤考核分＜80</w:t>
            </w:r>
          </w:p>
        </w:tc>
        <w:tc>
          <w:tcPr>
            <w:tcW w:w="5885" w:type="dxa"/>
            <w:tcBorders>
              <w:top w:val="nil"/>
              <w:left w:val="nil"/>
              <w:bottom w:val="single" w:color="auto" w:sz="4" w:space="0"/>
              <w:right w:val="single" w:color="auto" w:sz="8" w:space="0"/>
            </w:tcBorders>
            <w:noWrap/>
            <w:vAlign w:val="center"/>
          </w:tcPr>
          <w:p w14:paraId="32A15FB4">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扣除当月物业服务费的5%，并进行通报</w:t>
            </w:r>
          </w:p>
        </w:tc>
      </w:tr>
      <w:tr w14:paraId="49574242">
        <w:tblPrEx>
          <w:tblCellMar>
            <w:top w:w="0" w:type="dxa"/>
            <w:left w:w="108" w:type="dxa"/>
            <w:bottom w:w="0" w:type="dxa"/>
            <w:right w:w="108" w:type="dxa"/>
          </w:tblCellMar>
        </w:tblPrEx>
        <w:trPr>
          <w:trHeight w:val="409" w:hRule="atLeast"/>
          <w:jc w:val="center"/>
        </w:trPr>
        <w:tc>
          <w:tcPr>
            <w:tcW w:w="2811" w:type="dxa"/>
            <w:tcBorders>
              <w:top w:val="nil"/>
              <w:left w:val="single" w:color="auto" w:sz="4" w:space="0"/>
              <w:bottom w:val="single" w:color="auto" w:sz="8" w:space="0"/>
              <w:right w:val="single" w:color="auto" w:sz="4" w:space="0"/>
            </w:tcBorders>
            <w:noWrap/>
            <w:vAlign w:val="center"/>
          </w:tcPr>
          <w:p w14:paraId="0D98C4A4">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考核分＜70</w:t>
            </w:r>
          </w:p>
        </w:tc>
        <w:tc>
          <w:tcPr>
            <w:tcW w:w="5885" w:type="dxa"/>
            <w:tcBorders>
              <w:top w:val="nil"/>
              <w:left w:val="nil"/>
              <w:bottom w:val="single" w:color="auto" w:sz="8" w:space="0"/>
              <w:right w:val="single" w:color="auto" w:sz="8" w:space="0"/>
            </w:tcBorders>
            <w:noWrap/>
            <w:vAlign w:val="center"/>
          </w:tcPr>
          <w:p w14:paraId="351DE2D2">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扣除当月物业服务费的10%，并进行通报</w:t>
            </w:r>
          </w:p>
        </w:tc>
      </w:tr>
    </w:tbl>
    <w:p w14:paraId="2CC3F581">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对物业公司日常工作，除纳入月度考核打分外，还可处以下经济处罚，相关罚款从服务费中扣除：</w:t>
      </w:r>
    </w:p>
    <w:p w14:paraId="5225A7EA">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（1）日常巡查抽查发现的问题，根据不同情节，可处500-1000元罚款。</w:t>
      </w:r>
    </w:p>
    <w:p w14:paraId="7813D292">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（2）对发现的问题，多次指出但物业公司仍未整改到位的，可处1000-5000元罚款。</w:t>
      </w:r>
    </w:p>
    <w:p w14:paraId="254F41EB">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（3）工作中因操作失误，或管理不到位等原因，造成一定影响（如相关单位严正投诉）和一定经济损失的，可处5000-10000元罚款。造成的经济损失造价赔偿。</w:t>
      </w:r>
    </w:p>
    <w:p w14:paraId="611289B7">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（4）工作中因物业公司原因，事件造成恶劣影响，被责成书面检讨等情形，可处10000-20000元罚款。</w:t>
      </w:r>
    </w:p>
    <w:p w14:paraId="5E0C4113">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2.满意度测评建立通报和约谈机制：</w:t>
      </w:r>
    </w:p>
    <w:tbl>
      <w:tblPr>
        <w:tblStyle w:val="8"/>
        <w:tblW w:w="0" w:type="auto"/>
        <w:jc w:val="center"/>
        <w:tblLayout w:type="fixed"/>
        <w:tblCellMar>
          <w:top w:w="0" w:type="dxa"/>
          <w:left w:w="108" w:type="dxa"/>
          <w:bottom w:w="0" w:type="dxa"/>
          <w:right w:w="108" w:type="dxa"/>
        </w:tblCellMar>
      </w:tblPr>
      <w:tblGrid>
        <w:gridCol w:w="2982"/>
        <w:gridCol w:w="4995"/>
      </w:tblGrid>
      <w:tr w14:paraId="344F5AFD">
        <w:tblPrEx>
          <w:tblCellMar>
            <w:top w:w="0" w:type="dxa"/>
            <w:left w:w="108" w:type="dxa"/>
            <w:bottom w:w="0" w:type="dxa"/>
            <w:right w:w="108" w:type="dxa"/>
          </w:tblCellMar>
        </w:tblPrEx>
        <w:trPr>
          <w:trHeight w:val="388" w:hRule="atLeast"/>
          <w:jc w:val="center"/>
        </w:trPr>
        <w:tc>
          <w:tcPr>
            <w:tcW w:w="2982" w:type="dxa"/>
            <w:tcBorders>
              <w:top w:val="single" w:color="auto" w:sz="8" w:space="0"/>
              <w:left w:val="single" w:color="auto" w:sz="4" w:space="0"/>
              <w:bottom w:val="single" w:color="auto" w:sz="4" w:space="0"/>
              <w:right w:val="single" w:color="auto" w:sz="4" w:space="0"/>
            </w:tcBorders>
            <w:vAlign w:val="center"/>
          </w:tcPr>
          <w:p w14:paraId="09E03805">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满意度测评得分</w:t>
            </w:r>
          </w:p>
        </w:tc>
        <w:tc>
          <w:tcPr>
            <w:tcW w:w="4995" w:type="dxa"/>
            <w:tcBorders>
              <w:top w:val="single" w:color="auto" w:sz="8" w:space="0"/>
              <w:left w:val="nil"/>
              <w:bottom w:val="single" w:color="auto" w:sz="4" w:space="0"/>
              <w:right w:val="single" w:color="auto" w:sz="8" w:space="0"/>
            </w:tcBorders>
            <w:vAlign w:val="center"/>
          </w:tcPr>
          <w:p w14:paraId="0F61C8E3">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对应措施</w:t>
            </w:r>
          </w:p>
        </w:tc>
      </w:tr>
      <w:tr w14:paraId="165C42AD">
        <w:tblPrEx>
          <w:tblCellMar>
            <w:top w:w="0" w:type="dxa"/>
            <w:left w:w="108" w:type="dxa"/>
            <w:bottom w:w="0" w:type="dxa"/>
            <w:right w:w="108" w:type="dxa"/>
          </w:tblCellMar>
        </w:tblPrEx>
        <w:trPr>
          <w:trHeight w:val="445" w:hRule="atLeast"/>
          <w:jc w:val="center"/>
        </w:trPr>
        <w:tc>
          <w:tcPr>
            <w:tcW w:w="2982" w:type="dxa"/>
            <w:tcBorders>
              <w:top w:val="nil"/>
              <w:left w:val="single" w:color="auto" w:sz="4" w:space="0"/>
              <w:bottom w:val="single" w:color="auto" w:sz="4" w:space="0"/>
              <w:right w:val="single" w:color="auto" w:sz="4" w:space="0"/>
            </w:tcBorders>
            <w:vAlign w:val="center"/>
          </w:tcPr>
          <w:p w14:paraId="616E8939">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70≤得分＜80</w:t>
            </w:r>
          </w:p>
        </w:tc>
        <w:tc>
          <w:tcPr>
            <w:tcW w:w="4995" w:type="dxa"/>
            <w:tcBorders>
              <w:top w:val="nil"/>
              <w:left w:val="nil"/>
              <w:bottom w:val="single" w:color="auto" w:sz="4" w:space="0"/>
              <w:right w:val="single" w:color="auto" w:sz="8" w:space="0"/>
            </w:tcBorders>
            <w:vAlign w:val="center"/>
          </w:tcPr>
          <w:p w14:paraId="47A74DA2">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约谈项目</w:t>
            </w:r>
            <w:r>
              <w:rPr>
                <w:rFonts w:hint="eastAsia" w:ascii="仿宋_GB2312" w:hAnsi="仿宋_GB2312" w:eastAsia="仿宋_GB2312" w:cs="仿宋_GB2312"/>
                <w:color w:val="auto"/>
                <w:sz w:val="28"/>
                <w:szCs w:val="28"/>
                <w:highlight w:val="none"/>
                <w:lang w:val="en-US" w:eastAsia="zh-CN"/>
              </w:rPr>
              <w:t>负责人</w:t>
            </w:r>
          </w:p>
        </w:tc>
      </w:tr>
      <w:tr w14:paraId="14EAA152">
        <w:tblPrEx>
          <w:tblCellMar>
            <w:top w:w="0" w:type="dxa"/>
            <w:left w:w="108" w:type="dxa"/>
            <w:bottom w:w="0" w:type="dxa"/>
            <w:right w:w="108" w:type="dxa"/>
          </w:tblCellMar>
        </w:tblPrEx>
        <w:trPr>
          <w:trHeight w:val="409" w:hRule="atLeast"/>
          <w:jc w:val="center"/>
        </w:trPr>
        <w:tc>
          <w:tcPr>
            <w:tcW w:w="2982" w:type="dxa"/>
            <w:tcBorders>
              <w:top w:val="nil"/>
              <w:left w:val="single" w:color="auto" w:sz="4" w:space="0"/>
              <w:bottom w:val="single" w:color="auto" w:sz="8" w:space="0"/>
              <w:right w:val="single" w:color="auto" w:sz="4" w:space="0"/>
            </w:tcBorders>
            <w:vAlign w:val="center"/>
          </w:tcPr>
          <w:p w14:paraId="7ED29EEE">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得分＜70</w:t>
            </w:r>
          </w:p>
        </w:tc>
        <w:tc>
          <w:tcPr>
            <w:tcW w:w="4995" w:type="dxa"/>
            <w:tcBorders>
              <w:top w:val="nil"/>
              <w:left w:val="nil"/>
              <w:bottom w:val="single" w:color="auto" w:sz="8" w:space="0"/>
              <w:right w:val="single" w:color="auto" w:sz="8" w:space="0"/>
            </w:tcBorders>
            <w:vAlign w:val="center"/>
          </w:tcPr>
          <w:p w14:paraId="074EF7A8">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约谈公司负责人</w:t>
            </w:r>
          </w:p>
        </w:tc>
      </w:tr>
    </w:tbl>
    <w:p w14:paraId="21F00C9C">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3.年度评价得分与物业服务合同挂钩：</w:t>
      </w:r>
    </w:p>
    <w:tbl>
      <w:tblPr>
        <w:tblStyle w:val="8"/>
        <w:tblW w:w="0" w:type="auto"/>
        <w:jc w:val="center"/>
        <w:tblLayout w:type="fixed"/>
        <w:tblCellMar>
          <w:top w:w="0" w:type="dxa"/>
          <w:left w:w="108" w:type="dxa"/>
          <w:bottom w:w="0" w:type="dxa"/>
          <w:right w:w="108" w:type="dxa"/>
        </w:tblCellMar>
      </w:tblPr>
      <w:tblGrid>
        <w:gridCol w:w="2990"/>
        <w:gridCol w:w="5338"/>
      </w:tblGrid>
      <w:tr w14:paraId="2F597A01">
        <w:tblPrEx>
          <w:tblCellMar>
            <w:top w:w="0" w:type="dxa"/>
            <w:left w:w="108" w:type="dxa"/>
            <w:bottom w:w="0" w:type="dxa"/>
            <w:right w:w="108" w:type="dxa"/>
          </w:tblCellMar>
        </w:tblPrEx>
        <w:trPr>
          <w:trHeight w:val="388" w:hRule="atLeast"/>
          <w:jc w:val="center"/>
        </w:trPr>
        <w:tc>
          <w:tcPr>
            <w:tcW w:w="2990" w:type="dxa"/>
            <w:tcBorders>
              <w:top w:val="single" w:color="auto" w:sz="8" w:space="0"/>
              <w:left w:val="single" w:color="auto" w:sz="4" w:space="0"/>
              <w:bottom w:val="single" w:color="auto" w:sz="4" w:space="0"/>
              <w:right w:val="single" w:color="auto" w:sz="4" w:space="0"/>
            </w:tcBorders>
            <w:vAlign w:val="center"/>
          </w:tcPr>
          <w:p w14:paraId="3CA48CDA">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年度评价得分</w:t>
            </w:r>
          </w:p>
        </w:tc>
        <w:tc>
          <w:tcPr>
            <w:tcW w:w="5338" w:type="dxa"/>
            <w:tcBorders>
              <w:top w:val="single" w:color="auto" w:sz="8" w:space="0"/>
              <w:left w:val="nil"/>
              <w:bottom w:val="single" w:color="auto" w:sz="4" w:space="0"/>
              <w:right w:val="single" w:color="auto" w:sz="8" w:space="0"/>
            </w:tcBorders>
            <w:vAlign w:val="center"/>
          </w:tcPr>
          <w:p w14:paraId="18C70427">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对应措施</w:t>
            </w:r>
          </w:p>
        </w:tc>
      </w:tr>
      <w:tr w14:paraId="650D6298">
        <w:tblPrEx>
          <w:tblCellMar>
            <w:top w:w="0" w:type="dxa"/>
            <w:left w:w="108" w:type="dxa"/>
            <w:bottom w:w="0" w:type="dxa"/>
            <w:right w:w="108" w:type="dxa"/>
          </w:tblCellMar>
        </w:tblPrEx>
        <w:trPr>
          <w:trHeight w:val="663" w:hRule="atLeast"/>
          <w:jc w:val="center"/>
        </w:trPr>
        <w:tc>
          <w:tcPr>
            <w:tcW w:w="2990" w:type="dxa"/>
            <w:tcBorders>
              <w:top w:val="nil"/>
              <w:left w:val="single" w:color="auto" w:sz="4" w:space="0"/>
              <w:bottom w:val="single" w:color="auto" w:sz="8" w:space="0"/>
              <w:right w:val="single" w:color="auto" w:sz="4" w:space="0"/>
            </w:tcBorders>
            <w:vAlign w:val="center"/>
          </w:tcPr>
          <w:p w14:paraId="2F1192ED">
            <w:pPr>
              <w:keepLines w:val="0"/>
              <w:pageBreakBefore w:val="0"/>
              <w:widowControl w:val="0"/>
              <w:kinsoku/>
              <w:wordWrap/>
              <w:overflowPunct/>
              <w:topLinePunct w:val="0"/>
              <w:bidi w:val="0"/>
              <w:spacing w:after="0" w:line="48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得分＜70</w:t>
            </w:r>
          </w:p>
        </w:tc>
        <w:tc>
          <w:tcPr>
            <w:tcW w:w="5338" w:type="dxa"/>
            <w:tcBorders>
              <w:top w:val="nil"/>
              <w:left w:val="nil"/>
              <w:bottom w:val="single" w:color="auto" w:sz="8" w:space="0"/>
              <w:right w:val="single" w:color="auto" w:sz="8" w:space="0"/>
            </w:tcBorders>
            <w:vAlign w:val="center"/>
          </w:tcPr>
          <w:p w14:paraId="6FD471B9">
            <w:pPr>
              <w:keepLines w:val="0"/>
              <w:pageBreakBefore w:val="0"/>
              <w:widowControl w:val="0"/>
              <w:kinsoku/>
              <w:wordWrap/>
              <w:overflowPunct/>
              <w:topLinePunct w:val="0"/>
              <w:bidi w:val="0"/>
              <w:spacing w:after="0" w:line="480" w:lineRule="exact"/>
              <w:ind w:firstLine="840" w:firstLineChars="3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终止合同，并上报财政部门。</w:t>
            </w:r>
          </w:p>
        </w:tc>
      </w:tr>
    </w:tbl>
    <w:p w14:paraId="7CE36091">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年度评价总分100分，月度考核平均分占70%权重，满意度测评占30%权重。</w:t>
      </w:r>
    </w:p>
    <w:p w14:paraId="303DF027">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物业服务考核细则》中设置部分加分项内容，针对物业员工获得荣誉，提出合理化建议，拾金不昧、见义勇为、助人为乐等事迹，以及物业公司支持协助合同以外工作等情形，予以相应加分奖励。物业服务项目获得市级及以上荣誉时，年度评分予以相应加分奖励，获得市级荣誉加1分，省级加3分，国家级加5分。</w:t>
      </w:r>
    </w:p>
    <w:p w14:paraId="05A8836D">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5.如出现以下情形之一，</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有权提前终止合同,并追究物业公司相关责任：</w:t>
      </w:r>
    </w:p>
    <w:p w14:paraId="07F06A64">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（1）发生火灾事故，经消防部门认定负重大责任的情形； </w:t>
      </w:r>
    </w:p>
    <w:p w14:paraId="7CAC9F3C">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（2）组织高空作业或其它施工操作，出现重大人员伤亡事故，造成群访、舆情事件等不良社会影响的情形； </w:t>
      </w:r>
    </w:p>
    <w:p w14:paraId="62247A68">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（3）员工操作失误或管理疏忽，造成设备设施严重故障，造成重大财产损失，致使正常办公受到严重影响的情形；</w:t>
      </w:r>
    </w:p>
    <w:p w14:paraId="2AEED6C4">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（4）员工泄密并造成严重后果，或出现涉及刑事犯罪等情形；</w:t>
      </w:r>
    </w:p>
    <w:p w14:paraId="1749DDB8">
      <w:pPr>
        <w:keepLines w:val="0"/>
        <w:pageBreakBefore w:val="0"/>
        <w:widowControl w:val="0"/>
        <w:kinsoku/>
        <w:wordWrap/>
        <w:overflowPunct/>
        <w:topLinePunct w:val="0"/>
        <w:bidi w:val="0"/>
        <w:spacing w:after="0"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（5）其它被相关行政主管部门认定的严重责任事故。</w:t>
      </w:r>
    </w:p>
    <w:p w14:paraId="0C077463">
      <w:pPr>
        <w:keepLines w:val="0"/>
        <w:pageBreakBefore w:val="0"/>
        <w:widowControl w:val="0"/>
        <w:kinsoku/>
        <w:wordWrap/>
        <w:overflowPunct/>
        <w:topLinePunct w:val="0"/>
        <w:bidi w:val="0"/>
        <w:spacing w:after="0" w:line="480" w:lineRule="exact"/>
        <w:ind w:firstLine="64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第七条</w:t>
      </w:r>
      <w:r>
        <w:rPr>
          <w:rFonts w:hint="eastAsia" w:ascii="仿宋_GB2312" w:hAnsi="仿宋_GB2312" w:eastAsia="仿宋_GB2312" w:cs="仿宋_GB2312"/>
          <w:color w:val="auto"/>
          <w:sz w:val="28"/>
          <w:szCs w:val="28"/>
          <w:highlight w:val="none"/>
        </w:rPr>
        <w:t>附则</w:t>
      </w:r>
    </w:p>
    <w:p w14:paraId="3D38EF82">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1.本办法未详尽描述的事宜，由</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与物业公司协商处理。本办法中无相应说明的内容，以国家有关部门最新颁布的相应标准及规范为准。</w:t>
      </w:r>
    </w:p>
    <w:p w14:paraId="5B4B1223">
      <w:pPr>
        <w:keepLines w:val="0"/>
        <w:pageBreakBefore w:val="0"/>
        <w:widowControl w:val="0"/>
        <w:kinsoku/>
        <w:wordWrap/>
        <w:overflowPunct/>
        <w:topLinePunct w:val="0"/>
        <w:bidi w:val="0"/>
        <w:spacing w:after="0" w:line="480" w:lineRule="exact"/>
        <w:ind w:firstLine="560" w:firstLineChars="200"/>
        <w:jc w:val="both"/>
        <w:textAlignment w:val="auto"/>
        <w:rPr>
          <w:rFonts w:hint="eastAsia" w:ascii="仿宋_GB2312" w:hAnsi="仿宋_GB2312" w:eastAsia="仿宋_GB2312" w:cs="仿宋_GB2312"/>
          <w:color w:val="auto"/>
          <w:sz w:val="28"/>
          <w:szCs w:val="28"/>
          <w:highlight w:val="none"/>
        </w:rPr>
        <w:sectPr>
          <w:headerReference r:id="rId4" w:type="default"/>
          <w:footerReference r:id="rId5" w:type="default"/>
          <w:pgSz w:w="11906" w:h="16838"/>
          <w:pgMar w:top="1247" w:right="1304" w:bottom="1247" w:left="1304" w:header="680" w:footer="624" w:gutter="0"/>
          <w:cols w:space="720" w:num="1"/>
          <w:rtlGutter w:val="1"/>
          <w:docGrid w:linePitch="312" w:charSpace="0"/>
        </w:sectPr>
      </w:pPr>
      <w:r>
        <w:rPr>
          <w:rFonts w:hint="eastAsia" w:ascii="仿宋_GB2312" w:hAnsi="仿宋_GB2312" w:eastAsia="仿宋_GB2312" w:cs="仿宋_GB2312"/>
          <w:color w:val="auto"/>
          <w:sz w:val="28"/>
          <w:szCs w:val="28"/>
          <w:highlight w:val="none"/>
        </w:rPr>
        <w:t>2.本办法自印发之日起实施，由</w:t>
      </w:r>
      <w:r>
        <w:rPr>
          <w:rFonts w:hint="eastAsia" w:ascii="仿宋_GB2312" w:hAnsi="仿宋_GB2312" w:eastAsia="仿宋_GB2312" w:cs="仿宋_GB2312"/>
          <w:color w:val="auto"/>
          <w:sz w:val="28"/>
          <w:szCs w:val="28"/>
          <w:highlight w:val="none"/>
          <w:lang w:eastAsia="zh-CN"/>
        </w:rPr>
        <w:t>职能科室</w:t>
      </w:r>
      <w:r>
        <w:rPr>
          <w:rFonts w:hint="eastAsia" w:ascii="仿宋_GB2312" w:hAnsi="仿宋_GB2312" w:eastAsia="仿宋_GB2312" w:cs="仿宋_GB2312"/>
          <w:color w:val="auto"/>
          <w:sz w:val="28"/>
          <w:szCs w:val="28"/>
          <w:highlight w:val="none"/>
        </w:rPr>
        <w:t>负责解释说明。</w:t>
      </w:r>
    </w:p>
    <w:p w14:paraId="2D59F87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8"/>
          <w:szCs w:val="28"/>
        </w:rPr>
      </w:pPr>
      <w:r>
        <w:rPr>
          <w:rFonts w:hint="eastAsia" w:ascii="宋体" w:hAnsi="宋体" w:eastAsia="宋体" w:cs="宋体"/>
          <w:b/>
          <w:bCs/>
          <w:i w:val="0"/>
          <w:iCs w:val="0"/>
          <w:caps w:val="0"/>
          <w:spacing w:val="8"/>
          <w:sz w:val="28"/>
          <w:szCs w:val="28"/>
          <w:shd w:val="clear" w:fill="FFFFFF"/>
        </w:rPr>
        <w:t>物业服务满意度评测表（季度）</w:t>
      </w:r>
    </w:p>
    <w:tbl>
      <w:tblPr>
        <w:tblStyle w:val="8"/>
        <w:tblW w:w="9355" w:type="dxa"/>
        <w:jc w:val="center"/>
        <w:tblLayout w:type="autofit"/>
        <w:tblCellMar>
          <w:top w:w="0" w:type="dxa"/>
          <w:left w:w="0" w:type="dxa"/>
          <w:bottom w:w="0" w:type="dxa"/>
          <w:right w:w="0" w:type="dxa"/>
        </w:tblCellMar>
      </w:tblPr>
      <w:tblGrid>
        <w:gridCol w:w="720"/>
        <w:gridCol w:w="6465"/>
        <w:gridCol w:w="2170"/>
      </w:tblGrid>
      <w:tr w14:paraId="0DEC07FD">
        <w:tblPrEx>
          <w:tblCellMar>
            <w:top w:w="0" w:type="dxa"/>
            <w:left w:w="0" w:type="dxa"/>
            <w:bottom w:w="0" w:type="dxa"/>
            <w:right w:w="0" w:type="dxa"/>
          </w:tblCellMar>
        </w:tblPrEx>
        <w:trPr>
          <w:trHeight w:val="492"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918C">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0D5B">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       目</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B2578">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满意度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0-10分）</w:t>
            </w:r>
          </w:p>
        </w:tc>
      </w:tr>
      <w:tr w14:paraId="6EB0FFEF">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37AA0">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BDF0">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员工仪表仪容、文明礼貌、服务态度、规范化等</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4D0C9">
            <w:pPr>
              <w:rPr>
                <w:rFonts w:hint="eastAsia" w:ascii="宋体" w:hAnsi="宋体" w:eastAsia="宋体" w:cs="宋体"/>
                <w:color w:val="auto"/>
                <w:sz w:val="28"/>
                <w:szCs w:val="28"/>
                <w:highlight w:val="none"/>
              </w:rPr>
            </w:pPr>
          </w:p>
        </w:tc>
      </w:tr>
      <w:tr w14:paraId="165E4F6A">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A894B">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93AE9">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保安和车辆交通管理</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6AE8">
            <w:pPr>
              <w:rPr>
                <w:rFonts w:hint="eastAsia" w:ascii="宋体" w:hAnsi="宋体" w:eastAsia="宋体" w:cs="宋体"/>
                <w:color w:val="auto"/>
                <w:sz w:val="28"/>
                <w:szCs w:val="28"/>
                <w:highlight w:val="none"/>
              </w:rPr>
            </w:pPr>
          </w:p>
        </w:tc>
      </w:tr>
      <w:tr w14:paraId="7382CF24">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E1A71">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BE150">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室内清洁卫生</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1FC0F">
            <w:pPr>
              <w:rPr>
                <w:rFonts w:hint="eastAsia" w:ascii="宋体" w:hAnsi="宋体" w:eastAsia="宋体" w:cs="宋体"/>
                <w:color w:val="auto"/>
                <w:sz w:val="28"/>
                <w:szCs w:val="28"/>
                <w:highlight w:val="none"/>
              </w:rPr>
            </w:pPr>
          </w:p>
        </w:tc>
      </w:tr>
      <w:tr w14:paraId="0817BF91">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7DB61">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12C7C">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室外环境卫生</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E9798">
            <w:pPr>
              <w:rPr>
                <w:rFonts w:hint="eastAsia" w:ascii="宋体" w:hAnsi="宋体" w:eastAsia="宋体" w:cs="宋体"/>
                <w:color w:val="auto"/>
                <w:sz w:val="28"/>
                <w:szCs w:val="28"/>
                <w:highlight w:val="none"/>
              </w:rPr>
            </w:pPr>
          </w:p>
        </w:tc>
      </w:tr>
      <w:tr w14:paraId="524902AB">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BDFD">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F6634">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维修的时效性、质量等</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F0A2">
            <w:pPr>
              <w:rPr>
                <w:rFonts w:hint="eastAsia" w:ascii="宋体" w:hAnsi="宋体" w:eastAsia="宋体" w:cs="宋体"/>
                <w:color w:val="auto"/>
                <w:sz w:val="28"/>
                <w:szCs w:val="28"/>
                <w:highlight w:val="none"/>
              </w:rPr>
            </w:pPr>
          </w:p>
        </w:tc>
      </w:tr>
      <w:tr w14:paraId="529AFE6B">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2B18C">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0AF76">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公用设备管理（水电、电梯、空调、消防、照明等）</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41020">
            <w:pPr>
              <w:rPr>
                <w:rFonts w:hint="eastAsia" w:ascii="宋体" w:hAnsi="宋体" w:eastAsia="宋体" w:cs="宋体"/>
                <w:color w:val="auto"/>
                <w:sz w:val="28"/>
                <w:szCs w:val="28"/>
                <w:highlight w:val="none"/>
              </w:rPr>
            </w:pPr>
          </w:p>
        </w:tc>
      </w:tr>
      <w:tr w14:paraId="69D316DE">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C572A">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949DA">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公共设施管理（道路、地面、窨井、运动场所等）</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14AD8">
            <w:pPr>
              <w:rPr>
                <w:rFonts w:hint="eastAsia" w:ascii="宋体" w:hAnsi="宋体" w:eastAsia="宋体" w:cs="宋体"/>
                <w:color w:val="auto"/>
                <w:sz w:val="28"/>
                <w:szCs w:val="28"/>
                <w:highlight w:val="none"/>
              </w:rPr>
            </w:pPr>
          </w:p>
        </w:tc>
      </w:tr>
      <w:tr w14:paraId="4D095C48">
        <w:tblPrEx>
          <w:tblCellMar>
            <w:top w:w="0" w:type="dxa"/>
            <w:left w:w="0" w:type="dxa"/>
            <w:bottom w:w="0" w:type="dxa"/>
            <w:right w:w="0" w:type="dxa"/>
          </w:tblCellMar>
        </w:tblPrEx>
        <w:trPr>
          <w:trHeight w:val="27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193F6">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616BF">
            <w:pP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消防控制室管理</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226E6">
            <w:pPr>
              <w:rPr>
                <w:rFonts w:hint="eastAsia" w:ascii="宋体" w:hAnsi="宋体" w:eastAsia="宋体" w:cs="宋体"/>
                <w:color w:val="auto"/>
                <w:sz w:val="28"/>
                <w:szCs w:val="28"/>
                <w:highlight w:val="none"/>
              </w:rPr>
            </w:pPr>
          </w:p>
        </w:tc>
      </w:tr>
      <w:tr w14:paraId="1D74DED7">
        <w:tblPrEx>
          <w:tblCellMar>
            <w:top w:w="0" w:type="dxa"/>
            <w:left w:w="0" w:type="dxa"/>
            <w:bottom w:w="0" w:type="dxa"/>
            <w:right w:w="0" w:type="dxa"/>
          </w:tblCellMar>
        </w:tblPrEx>
        <w:trPr>
          <w:trHeight w:val="45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6119D">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DD320">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值班</w:t>
            </w:r>
            <w:r>
              <w:rPr>
                <w:rFonts w:hint="eastAsia" w:ascii="宋体" w:hAnsi="宋体" w:cs="宋体"/>
                <w:color w:val="auto"/>
                <w:sz w:val="28"/>
                <w:szCs w:val="28"/>
                <w:highlight w:val="none"/>
                <w:lang w:val="en-US" w:eastAsia="zh-CN"/>
              </w:rPr>
              <w:t>值守</w:t>
            </w:r>
            <w:r>
              <w:rPr>
                <w:rFonts w:hint="eastAsia" w:ascii="宋体" w:hAnsi="宋体" w:eastAsia="宋体" w:cs="宋体"/>
                <w:color w:val="auto"/>
                <w:sz w:val="28"/>
                <w:szCs w:val="28"/>
                <w:highlight w:val="none"/>
              </w:rPr>
              <w:t>、收发等</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DF407">
            <w:pPr>
              <w:rPr>
                <w:rFonts w:hint="eastAsia" w:ascii="宋体" w:hAnsi="宋体" w:eastAsia="宋体" w:cs="宋体"/>
                <w:color w:val="auto"/>
                <w:sz w:val="28"/>
                <w:szCs w:val="28"/>
                <w:highlight w:val="none"/>
              </w:rPr>
            </w:pPr>
          </w:p>
        </w:tc>
      </w:tr>
      <w:tr w14:paraId="0C8570AE">
        <w:tblPrEx>
          <w:tblCellMar>
            <w:top w:w="0" w:type="dxa"/>
            <w:left w:w="0" w:type="dxa"/>
            <w:bottom w:w="0" w:type="dxa"/>
            <w:right w:w="0" w:type="dxa"/>
          </w:tblCellMar>
        </w:tblPrEx>
        <w:trPr>
          <w:trHeight w:val="306" w:hRule="atLeast"/>
          <w:jc w:val="center"/>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A3A51">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6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F2B5">
            <w:pP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提示公告、节水节电、巡检走访、制度台账、标准化服务等</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DB85A">
            <w:pPr>
              <w:rPr>
                <w:rFonts w:hint="eastAsia" w:ascii="宋体" w:hAnsi="宋体" w:eastAsia="宋体" w:cs="宋体"/>
                <w:color w:val="auto"/>
                <w:sz w:val="28"/>
                <w:szCs w:val="28"/>
                <w:highlight w:val="none"/>
              </w:rPr>
            </w:pPr>
          </w:p>
        </w:tc>
      </w:tr>
      <w:tr w14:paraId="4FC7E1A7">
        <w:tblPrEx>
          <w:tblCellMar>
            <w:top w:w="0" w:type="dxa"/>
            <w:left w:w="0" w:type="dxa"/>
            <w:bottom w:w="0" w:type="dxa"/>
            <w:right w:w="0" w:type="dxa"/>
          </w:tblCellMar>
        </w:tblPrEx>
        <w:trPr>
          <w:trHeight w:val="276" w:hRule="atLeast"/>
          <w:jc w:val="center"/>
        </w:trPr>
        <w:tc>
          <w:tcPr>
            <w:tcW w:w="71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11743">
            <w:pPr>
              <w:jc w:val="right"/>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总得分（满分100分）</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B7514">
            <w:pPr>
              <w:rPr>
                <w:rFonts w:hint="eastAsia" w:ascii="宋体" w:hAnsi="宋体" w:eastAsia="宋体" w:cs="宋体"/>
                <w:color w:val="auto"/>
                <w:sz w:val="28"/>
                <w:szCs w:val="28"/>
                <w:highlight w:val="none"/>
              </w:rPr>
            </w:pPr>
          </w:p>
        </w:tc>
      </w:tr>
      <w:tr w14:paraId="2435611B">
        <w:tblPrEx>
          <w:tblCellMar>
            <w:top w:w="0" w:type="dxa"/>
            <w:left w:w="0" w:type="dxa"/>
            <w:bottom w:w="0" w:type="dxa"/>
            <w:right w:w="0" w:type="dxa"/>
          </w:tblCellMar>
        </w:tblPrEx>
        <w:trPr>
          <w:trHeight w:val="5581" w:hRule="atLeast"/>
          <w:jc w:val="center"/>
        </w:trPr>
        <w:tc>
          <w:tcPr>
            <w:tcW w:w="93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8AA66">
            <w:pPr>
              <w:spacing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请在相应的栏目里直接写出满意度分值；您的其它意见或建议：（如果页面不足，可书写到背面或附页）</w:t>
            </w:r>
          </w:p>
        </w:tc>
      </w:tr>
    </w:tbl>
    <w:p w14:paraId="3BF3A220">
      <w:pPr>
        <w:spacing w:line="400" w:lineRule="exact"/>
        <w:rPr>
          <w:rFonts w:hint="eastAsia" w:ascii="仿宋_GB2312" w:hAnsi="仿宋_GB2312" w:eastAsia="仿宋_GB2312" w:cs="仿宋_GB2312"/>
          <w:b/>
          <w:color w:val="auto"/>
          <w:sz w:val="28"/>
          <w:szCs w:val="28"/>
          <w:highlight w:val="none"/>
        </w:rPr>
      </w:pPr>
    </w:p>
    <w:p w14:paraId="2D7A6C77">
      <w:pPr>
        <w:spacing w:line="40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《物业服务年度评议打分表》</w:t>
      </w:r>
    </w:p>
    <w:tbl>
      <w:tblPr>
        <w:tblStyle w:val="8"/>
        <w:tblW w:w="9620" w:type="dxa"/>
        <w:jc w:val="center"/>
        <w:tblLayout w:type="fixed"/>
        <w:tblCellMar>
          <w:top w:w="0" w:type="dxa"/>
          <w:left w:w="0" w:type="dxa"/>
          <w:bottom w:w="0" w:type="dxa"/>
          <w:right w:w="0" w:type="dxa"/>
        </w:tblCellMar>
      </w:tblPr>
      <w:tblGrid>
        <w:gridCol w:w="735"/>
        <w:gridCol w:w="7418"/>
        <w:gridCol w:w="1467"/>
      </w:tblGrid>
      <w:tr w14:paraId="5F019291">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19E6C">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00368">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       目</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222CF">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分值</w:t>
            </w:r>
          </w:p>
          <w:p w14:paraId="487C6CCF">
            <w:pPr>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（0-10分）</w:t>
            </w:r>
          </w:p>
        </w:tc>
      </w:tr>
      <w:tr w14:paraId="68BBDED0">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C1CD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7418" w:type="dxa"/>
            <w:tcBorders>
              <w:top w:val="nil"/>
              <w:left w:val="nil"/>
              <w:bottom w:val="nil"/>
              <w:right w:val="nil"/>
            </w:tcBorders>
            <w:noWrap/>
            <w:tcMar>
              <w:top w:w="15" w:type="dxa"/>
              <w:left w:w="15" w:type="dxa"/>
              <w:right w:w="15" w:type="dxa"/>
            </w:tcMar>
            <w:vAlign w:val="center"/>
          </w:tcPr>
          <w:p w14:paraId="7348E468">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基础管理，规定制度、台账资料，质量管控，员工管理、培训等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375FB97">
            <w:pPr>
              <w:rPr>
                <w:rFonts w:hint="eastAsia" w:ascii="宋体" w:hAnsi="宋体" w:eastAsia="宋体" w:cs="宋体"/>
                <w:color w:val="auto"/>
                <w:sz w:val="28"/>
                <w:szCs w:val="28"/>
                <w:highlight w:val="none"/>
              </w:rPr>
            </w:pPr>
          </w:p>
        </w:tc>
      </w:tr>
      <w:tr w14:paraId="6A35FB86">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9D79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5389D">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员工情况、素质，仪表仪容、文明礼貌、服务态度等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0F83C08">
            <w:pPr>
              <w:rPr>
                <w:rFonts w:hint="eastAsia" w:ascii="宋体" w:hAnsi="宋体" w:eastAsia="宋体" w:cs="宋体"/>
                <w:color w:val="auto"/>
                <w:sz w:val="28"/>
                <w:szCs w:val="28"/>
                <w:highlight w:val="none"/>
              </w:rPr>
            </w:pPr>
          </w:p>
        </w:tc>
      </w:tr>
      <w:tr w14:paraId="706A80AF">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570FB">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C65FE">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保安和车辆交通管理</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273A707">
            <w:pPr>
              <w:rPr>
                <w:rFonts w:hint="eastAsia" w:ascii="宋体" w:hAnsi="宋体" w:eastAsia="宋体" w:cs="宋体"/>
                <w:color w:val="auto"/>
                <w:sz w:val="28"/>
                <w:szCs w:val="28"/>
                <w:highlight w:val="none"/>
              </w:rPr>
            </w:pPr>
          </w:p>
        </w:tc>
      </w:tr>
      <w:tr w14:paraId="48487162">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EEA8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5B0B5">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卫生保洁、环境管理、消杀防控等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C825D4A">
            <w:pPr>
              <w:rPr>
                <w:rFonts w:hint="eastAsia" w:ascii="宋体" w:hAnsi="宋体" w:eastAsia="宋体" w:cs="宋体"/>
                <w:color w:val="auto"/>
                <w:sz w:val="28"/>
                <w:szCs w:val="28"/>
                <w:highlight w:val="none"/>
              </w:rPr>
            </w:pPr>
          </w:p>
        </w:tc>
      </w:tr>
      <w:tr w14:paraId="715E7BAC">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5FC7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EAECB">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工程维修的时效性、质量等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ABEE378">
            <w:pPr>
              <w:rPr>
                <w:rFonts w:hint="eastAsia" w:ascii="宋体" w:hAnsi="宋体" w:eastAsia="宋体" w:cs="宋体"/>
                <w:color w:val="auto"/>
                <w:sz w:val="28"/>
                <w:szCs w:val="28"/>
                <w:highlight w:val="none"/>
              </w:rPr>
            </w:pPr>
          </w:p>
        </w:tc>
      </w:tr>
      <w:tr w14:paraId="40E1F86F">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7E77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D4282">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公用设备管理（水电、电梯、空调、消防、照明等）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0234C7A">
            <w:pPr>
              <w:rPr>
                <w:rFonts w:hint="eastAsia" w:ascii="宋体" w:hAnsi="宋体" w:eastAsia="宋体" w:cs="宋体"/>
                <w:color w:val="auto"/>
                <w:sz w:val="28"/>
                <w:szCs w:val="28"/>
                <w:highlight w:val="none"/>
              </w:rPr>
            </w:pPr>
          </w:p>
        </w:tc>
      </w:tr>
      <w:tr w14:paraId="19418346">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3548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82D84">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公共设施管理（道路、地面、窨井、运动场所等）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92760DF">
            <w:pPr>
              <w:rPr>
                <w:rFonts w:hint="eastAsia" w:ascii="宋体" w:hAnsi="宋体" w:eastAsia="宋体" w:cs="宋体"/>
                <w:color w:val="auto"/>
                <w:sz w:val="28"/>
                <w:szCs w:val="28"/>
                <w:highlight w:val="none"/>
              </w:rPr>
            </w:pPr>
          </w:p>
        </w:tc>
      </w:tr>
      <w:tr w14:paraId="3DE876DF">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7F97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A0AF6">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消防控制室管理</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9A9F8F3">
            <w:pPr>
              <w:rPr>
                <w:rFonts w:hint="eastAsia" w:ascii="宋体" w:hAnsi="宋体" w:eastAsia="宋体" w:cs="宋体"/>
                <w:color w:val="auto"/>
                <w:sz w:val="28"/>
                <w:szCs w:val="28"/>
                <w:highlight w:val="none"/>
              </w:rPr>
            </w:pPr>
          </w:p>
        </w:tc>
      </w:tr>
      <w:tr w14:paraId="39ED9632">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DAA2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52377">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值班</w:t>
            </w:r>
            <w:r>
              <w:rPr>
                <w:rFonts w:hint="eastAsia" w:ascii="宋体" w:hAnsi="宋体" w:cs="宋体"/>
                <w:color w:val="auto"/>
                <w:sz w:val="28"/>
                <w:szCs w:val="28"/>
                <w:highlight w:val="none"/>
                <w:lang w:val="en-US" w:eastAsia="zh-CN"/>
              </w:rPr>
              <w:t>值守</w:t>
            </w:r>
            <w:r>
              <w:rPr>
                <w:rFonts w:hint="eastAsia" w:ascii="宋体" w:hAnsi="宋体" w:eastAsia="宋体" w:cs="宋体"/>
                <w:color w:val="auto"/>
                <w:sz w:val="28"/>
                <w:szCs w:val="28"/>
                <w:highlight w:val="none"/>
              </w:rPr>
              <w:t>、收发等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A67196B">
            <w:pPr>
              <w:rPr>
                <w:rFonts w:hint="eastAsia" w:ascii="宋体" w:hAnsi="宋体" w:eastAsia="宋体" w:cs="宋体"/>
                <w:color w:val="auto"/>
                <w:sz w:val="28"/>
                <w:szCs w:val="28"/>
                <w:highlight w:val="none"/>
              </w:rPr>
            </w:pPr>
          </w:p>
        </w:tc>
      </w:tr>
      <w:tr w14:paraId="35E670F3">
        <w:tblPrEx>
          <w:tblCellMar>
            <w:top w:w="0" w:type="dxa"/>
            <w:left w:w="0" w:type="dxa"/>
            <w:bottom w:w="0" w:type="dxa"/>
            <w:right w:w="0" w:type="dxa"/>
          </w:tblCellMar>
        </w:tblPrEx>
        <w:trPr>
          <w:trHeight w:val="23" w:hRule="atLeast"/>
          <w:jc w:val="center"/>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0641B">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7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2DF0E">
            <w:pPr>
              <w:keepNext w:val="0"/>
              <w:keepLines w:val="0"/>
              <w:pageBreakBefore w:val="0"/>
              <w:widowControl/>
              <w:kinsoku/>
              <w:wordWrap/>
              <w:overflowPunct/>
              <w:topLinePunct w:val="0"/>
              <w:autoSpaceDE/>
              <w:autoSpaceDN/>
              <w:bidi w:val="0"/>
              <w:adjustRightInd w:val="0"/>
              <w:snapToGrid w:val="0"/>
              <w:spacing w:after="0"/>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通知公告、节水节电节能、巡检走访、标志标牌、标准化措施等</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FF7D48F">
            <w:pPr>
              <w:rPr>
                <w:rFonts w:hint="eastAsia" w:ascii="宋体" w:hAnsi="宋体" w:eastAsia="宋体" w:cs="宋体"/>
                <w:color w:val="auto"/>
                <w:sz w:val="28"/>
                <w:szCs w:val="28"/>
                <w:highlight w:val="none"/>
              </w:rPr>
            </w:pPr>
          </w:p>
        </w:tc>
      </w:tr>
      <w:tr w14:paraId="660CBE4C">
        <w:tblPrEx>
          <w:tblCellMar>
            <w:top w:w="0" w:type="dxa"/>
            <w:left w:w="0" w:type="dxa"/>
            <w:bottom w:w="0" w:type="dxa"/>
            <w:right w:w="0" w:type="dxa"/>
          </w:tblCellMar>
        </w:tblPrEx>
        <w:trPr>
          <w:trHeight w:val="23" w:hRule="atLeast"/>
          <w:jc w:val="center"/>
        </w:trPr>
        <w:tc>
          <w:tcPr>
            <w:tcW w:w="81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9D9B7">
            <w:pPr>
              <w:jc w:val="right"/>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总得分（满分100分）</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229E80B">
            <w:pPr>
              <w:rPr>
                <w:rFonts w:hint="eastAsia" w:ascii="宋体" w:hAnsi="宋体" w:eastAsia="宋体" w:cs="宋体"/>
                <w:color w:val="auto"/>
                <w:sz w:val="28"/>
                <w:szCs w:val="28"/>
                <w:highlight w:val="none"/>
              </w:rPr>
            </w:pPr>
          </w:p>
        </w:tc>
      </w:tr>
      <w:tr w14:paraId="4917D0CC">
        <w:tblPrEx>
          <w:tblCellMar>
            <w:top w:w="0" w:type="dxa"/>
            <w:left w:w="0" w:type="dxa"/>
            <w:bottom w:w="0" w:type="dxa"/>
            <w:right w:w="0" w:type="dxa"/>
          </w:tblCellMar>
        </w:tblPrEx>
        <w:trPr>
          <w:trHeight w:val="312" w:hRule="atLeast"/>
          <w:jc w:val="center"/>
        </w:trPr>
        <w:tc>
          <w:tcPr>
            <w:tcW w:w="962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D81088D">
            <w:pPr>
              <w:widowControl w:val="0"/>
              <w:spacing w:after="0"/>
              <w:textAlignment w:val="top"/>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其它意见、建议、评价：</w:t>
            </w:r>
          </w:p>
          <w:p w14:paraId="3DC68330">
            <w:pPr>
              <w:widowControl w:val="0"/>
              <w:spacing w:after="0"/>
              <w:ind w:firstLine="480"/>
              <w:textAlignment w:val="top"/>
              <w:rPr>
                <w:rFonts w:hint="eastAsia" w:ascii="宋体" w:hAnsi="宋体" w:eastAsia="宋体" w:cs="宋体"/>
                <w:color w:val="auto"/>
                <w:sz w:val="28"/>
                <w:szCs w:val="28"/>
                <w:highlight w:val="none"/>
              </w:rPr>
            </w:pPr>
          </w:p>
          <w:p w14:paraId="35418711">
            <w:pPr>
              <w:widowControl w:val="0"/>
              <w:spacing w:after="0"/>
              <w:ind w:firstLine="480"/>
              <w:textAlignment w:val="top"/>
              <w:rPr>
                <w:rFonts w:hint="eastAsia" w:ascii="宋体" w:hAnsi="宋体" w:eastAsia="宋体" w:cs="宋体"/>
                <w:color w:val="auto"/>
                <w:sz w:val="28"/>
                <w:szCs w:val="28"/>
                <w:highlight w:val="none"/>
              </w:rPr>
            </w:pPr>
          </w:p>
        </w:tc>
      </w:tr>
      <w:tr w14:paraId="0D1DBDA9">
        <w:tblPrEx>
          <w:tblCellMar>
            <w:top w:w="0" w:type="dxa"/>
            <w:left w:w="0" w:type="dxa"/>
            <w:bottom w:w="0" w:type="dxa"/>
            <w:right w:w="0" w:type="dxa"/>
          </w:tblCellMar>
        </w:tblPrEx>
        <w:trPr>
          <w:trHeight w:val="4277" w:hRule="atLeast"/>
          <w:jc w:val="center"/>
        </w:trPr>
        <w:tc>
          <w:tcPr>
            <w:tcW w:w="962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4B126D5">
            <w:pPr>
              <w:widowControl w:val="0"/>
              <w:spacing w:after="0"/>
              <w:rPr>
                <w:rFonts w:hint="eastAsia" w:ascii="宋体" w:hAnsi="宋体" w:eastAsia="宋体" w:cs="宋体"/>
                <w:color w:val="auto"/>
                <w:sz w:val="28"/>
                <w:szCs w:val="28"/>
                <w:highlight w:val="none"/>
              </w:rPr>
            </w:pPr>
          </w:p>
        </w:tc>
      </w:tr>
    </w:tbl>
    <w:p w14:paraId="2A46698C">
      <w:pPr>
        <w:rPr>
          <w:sz w:val="28"/>
          <w:szCs w:val="28"/>
        </w:rPr>
      </w:pPr>
    </w:p>
    <w:sectPr>
      <w:headerReference r:id="rId6" w:type="default"/>
      <w:footerReference r:id="rId7"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F924761-4B00-4B33-B8A9-CF011D2E52E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1E26B16B-C84E-4050-9308-72305A3EA79D}"/>
  </w:font>
  <w:font w:name="仿宋">
    <w:panose1 w:val="02010609060101010101"/>
    <w:charset w:val="86"/>
    <w:family w:val="auto"/>
    <w:pitch w:val="default"/>
    <w:sig w:usb0="800002BF" w:usb1="38CF7CFA" w:usb2="00000016" w:usb3="00000000" w:csb0="00040001" w:csb1="00000000"/>
    <w:embedRegular r:id="rId3" w:fontKey="{D7300A01-1953-43F9-88CB-6FD11A0AD3E6}"/>
  </w:font>
  <w:font w:name="方正楷体_GB2312">
    <w:panose1 w:val="02000000000000000000"/>
    <w:charset w:val="86"/>
    <w:family w:val="auto"/>
    <w:pitch w:val="default"/>
    <w:sig w:usb0="A00002BF" w:usb1="184F6CFA" w:usb2="00000012" w:usb3="00000000" w:csb0="00040001" w:csb1="00000000"/>
    <w:embedRegular r:id="rId4" w:fontKey="{1C9D8DFD-A9D6-4937-BAB2-D7C40042E4B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8B4">
    <w:pPr>
      <w:pStyle w:val="5"/>
      <w:tabs>
        <w:tab w:val="left" w:pos="539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C287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9C2879">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FDD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CA2A8">
                          <w:pPr>
                            <w:pStyle w:val="5"/>
                            <w:rPr>
                              <w:rStyle w:val="12"/>
                            </w:rPr>
                          </w:pPr>
                          <w:r>
                            <w:fldChar w:fldCharType="begin"/>
                          </w:r>
                          <w:r>
                            <w:rPr>
                              <w:rStyle w:val="12"/>
                            </w:rPr>
                            <w:instrText xml:space="preserve">PAGE  </w:instrText>
                          </w:r>
                          <w:r>
                            <w:fldChar w:fldCharType="separate"/>
                          </w:r>
                          <w:r>
                            <w:rPr>
                              <w:rStyle w:val="12"/>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CA2A8">
                    <w:pPr>
                      <w:pStyle w:val="5"/>
                      <w:rPr>
                        <w:rStyle w:val="12"/>
                      </w:rPr>
                    </w:pPr>
                    <w:r>
                      <w:fldChar w:fldCharType="begin"/>
                    </w:r>
                    <w:r>
                      <w:rPr>
                        <w:rStyle w:val="12"/>
                      </w:rPr>
                      <w:instrText xml:space="preserve">PAGE  </w:instrText>
                    </w:r>
                    <w:r>
                      <w:fldChar w:fldCharType="separate"/>
                    </w:r>
                    <w:r>
                      <w:rPr>
                        <w:rStyle w:val="12"/>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258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C04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FFC00"/>
    <w:multiLevelType w:val="singleLevel"/>
    <w:tmpl w:val="8FCFFC00"/>
    <w:lvl w:ilvl="0" w:tentative="0">
      <w:start w:val="1"/>
      <w:numFmt w:val="decimal"/>
      <w:lvlText w:val="%1."/>
      <w:lvlJc w:val="left"/>
      <w:pPr>
        <w:tabs>
          <w:tab w:val="left" w:pos="312"/>
        </w:tabs>
      </w:pPr>
    </w:lvl>
  </w:abstractNum>
  <w:abstractNum w:abstractNumId="1">
    <w:nsid w:val="A0E050AC"/>
    <w:multiLevelType w:val="singleLevel"/>
    <w:tmpl w:val="A0E050A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B2F90"/>
    <w:rsid w:val="01050F3D"/>
    <w:rsid w:val="104E60CE"/>
    <w:rsid w:val="16C11D54"/>
    <w:rsid w:val="2B1B15F8"/>
    <w:rsid w:val="2D875248"/>
    <w:rsid w:val="2E374960"/>
    <w:rsid w:val="2E8822E7"/>
    <w:rsid w:val="31C20CD6"/>
    <w:rsid w:val="324059AE"/>
    <w:rsid w:val="38BC19A2"/>
    <w:rsid w:val="3A7A4144"/>
    <w:rsid w:val="3B6756A6"/>
    <w:rsid w:val="3D2C346A"/>
    <w:rsid w:val="3F4B2F90"/>
    <w:rsid w:val="41936B67"/>
    <w:rsid w:val="4A3B4557"/>
    <w:rsid w:val="4BF75B32"/>
    <w:rsid w:val="4F9E46AF"/>
    <w:rsid w:val="5E103D5E"/>
    <w:rsid w:val="64EE4AA1"/>
    <w:rsid w:val="6E2C2436"/>
    <w:rsid w:val="732C6762"/>
    <w:rsid w:val="7708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99"/>
    <w:pPr>
      <w:keepNext/>
      <w:keepLines/>
      <w:widowControl w:val="0"/>
      <w:adjustRightInd/>
      <w:snapToGrid/>
      <w:spacing w:after="0"/>
      <w:outlineLvl w:val="1"/>
    </w:pPr>
    <w:rPr>
      <w:rFonts w:ascii="Arial" w:hAnsi="Arial" w:cs="宋体"/>
      <w:b/>
      <w:bCs/>
      <w:snapToGrid w:val="0"/>
      <w:sz w:val="28"/>
      <w:szCs w:val="32"/>
    </w:rPr>
  </w:style>
  <w:style w:type="paragraph" w:styleId="3">
    <w:name w:val="heading 3"/>
    <w:basedOn w:val="1"/>
    <w:qFormat/>
    <w:uiPriority w:val="99"/>
    <w:pPr>
      <w:keepNext/>
      <w:keepLines/>
      <w:widowControl w:val="0"/>
      <w:adjustRightInd/>
      <w:snapToGrid/>
      <w:spacing w:before="260" w:after="260" w:line="416" w:lineRule="auto"/>
      <w:jc w:val="both"/>
      <w:outlineLvl w:val="2"/>
    </w:pPr>
    <w:rPr>
      <w:rFonts w:ascii="Times New Roman" w:hAnsi="Times New Roman"/>
      <w:b/>
      <w:bCs/>
      <w:kern w:val="2"/>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99"/>
    <w:pPr>
      <w:adjustRightInd/>
      <w:snapToGrid/>
      <w:spacing w:after="0"/>
    </w:pPr>
    <w:rPr>
      <w:rFonts w:ascii="宋体" w:hAnsi="宋体"/>
      <w:sz w:val="24"/>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99"/>
  </w:style>
  <w:style w:type="paragraph" w:customStyle="1" w:styleId="13">
    <w:name w:val="列表段落1"/>
    <w:basedOn w:val="1"/>
    <w:qFormat/>
    <w:uiPriority w:val="34"/>
    <w:pPr>
      <w:ind w:firstLine="420" w:firstLineChars="200"/>
    </w:pPr>
  </w:style>
  <w:style w:type="paragraph" w:styleId="14">
    <w:name w:val="List Paragraph"/>
    <w:basedOn w:val="1"/>
    <w:autoRedefine/>
    <w:qFormat/>
    <w:uiPriority w:val="1"/>
    <w:pPr>
      <w:ind w:left="321" w:firstLine="470"/>
    </w:pPr>
  </w:style>
  <w:style w:type="paragraph" w:customStyle="1" w:styleId="15">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479</Words>
  <Characters>506</Characters>
  <Lines>1</Lines>
  <Paragraphs>1</Paragraphs>
  <TotalTime>33</TotalTime>
  <ScaleCrop>false</ScaleCrop>
  <LinksUpToDate>false</LinksUpToDate>
  <CharactersWithSpaces>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2026-01-26T06:26:00Z</dcterms:created>
  <dc:creator>喵~~</dc:creator>
  <cp:lastModifiedBy>古寂山</cp:lastModifiedBy>
  <dcterms:modified xsi:type="dcterms:W3CDTF">2026-07-13T08:26:46Z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CDEA21F1CEA241229E5DDD451E6382CE_13</vt:lpwstr>
  </property>
  <property fmtid="{D5CDD505-2E9C-101B-9397-08002B2CF9AE}" pid="4" name="KSOTemplateDocerSaveRecord">
    <vt:lpwstr>eyJoZGlkIjoiYjczNGYwNmQ0YjM2NDdhMGFlNjA1NWRjZmMyZjgyOGEiLCJ1c2VySWQiOiIxOTc0MzIwMDUifQ==</vt:lpwstr>
  </property>
</Properties>
</file>